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74"/>
        <w:gridCol w:w="5652"/>
      </w:tblGrid>
      <w:tr w:rsidR="00796D83" w:rsidRPr="00796D83" w:rsidTr="00796D83">
        <w:trPr>
          <w:trHeight w:val="850"/>
          <w:tblCellSpacing w:w="0" w:type="dxa"/>
        </w:trPr>
        <w:tc>
          <w:tcPr>
            <w:tcW w:w="1869" w:type="pct"/>
            <w:shd w:val="clear" w:color="auto" w:fill="FFFFFF"/>
            <w:tcMar>
              <w:top w:w="0" w:type="dxa"/>
              <w:left w:w="108" w:type="dxa"/>
              <w:bottom w:w="0" w:type="dxa"/>
              <w:right w:w="108" w:type="dxa"/>
            </w:tcMa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BỘ Y TẾ</w:t>
            </w:r>
            <w:r w:rsidRPr="00796D83">
              <w:rPr>
                <w:rFonts w:ascii="Arial" w:eastAsia="Times New Roman" w:hAnsi="Arial" w:cs="Arial"/>
                <w:b/>
                <w:bCs/>
                <w:sz w:val="20"/>
                <w:szCs w:val="20"/>
                <w:lang w:eastAsia="en-SG"/>
              </w:rPr>
              <w:br/>
            </w:r>
            <w:r w:rsidRPr="00796D83">
              <w:rPr>
                <w:rFonts w:ascii="Arial" w:eastAsia="Times New Roman" w:hAnsi="Arial" w:cs="Arial"/>
                <w:bCs/>
                <w:sz w:val="20"/>
                <w:szCs w:val="20"/>
                <w:vertAlign w:val="superscript"/>
                <w:lang w:eastAsia="en-SG"/>
              </w:rPr>
              <w:t>____________</w:t>
            </w:r>
          </w:p>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Số: 28/2023/TT-BYT</w:t>
            </w:r>
          </w:p>
        </w:tc>
        <w:tc>
          <w:tcPr>
            <w:tcW w:w="3131" w:type="pct"/>
            <w:shd w:val="clear" w:color="auto" w:fill="FFFFFF"/>
            <w:tcMar>
              <w:top w:w="0" w:type="dxa"/>
              <w:left w:w="108" w:type="dxa"/>
              <w:bottom w:w="0" w:type="dxa"/>
              <w:right w:w="108" w:type="dxa"/>
            </w:tcMa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CỘNG HÒA XÃ HỘI CHỦ NGHĨA VIỆT NAM</w:t>
            </w:r>
            <w:r w:rsidRPr="00796D83">
              <w:rPr>
                <w:rFonts w:ascii="Arial" w:eastAsia="Times New Roman" w:hAnsi="Arial" w:cs="Arial"/>
                <w:b/>
                <w:bCs/>
                <w:sz w:val="20"/>
                <w:szCs w:val="20"/>
                <w:lang w:eastAsia="en-SG"/>
              </w:rPr>
              <w:br/>
              <w:t>Độc lập - Tự do - Hạnh phúc</w:t>
            </w:r>
            <w:r w:rsidRPr="00796D83">
              <w:rPr>
                <w:rFonts w:ascii="Arial" w:eastAsia="Times New Roman" w:hAnsi="Arial" w:cs="Arial"/>
                <w:b/>
                <w:bCs/>
                <w:sz w:val="20"/>
                <w:szCs w:val="20"/>
                <w:lang w:eastAsia="en-SG"/>
              </w:rPr>
              <w:br/>
            </w:r>
            <w:r w:rsidRPr="00796D83">
              <w:rPr>
                <w:rFonts w:ascii="Arial" w:eastAsia="Times New Roman" w:hAnsi="Arial" w:cs="Arial"/>
                <w:bCs/>
                <w:sz w:val="20"/>
                <w:szCs w:val="20"/>
                <w:vertAlign w:val="superscript"/>
                <w:lang w:eastAsia="en-SG"/>
              </w:rPr>
              <w:t>____________</w:t>
            </w:r>
            <w:r>
              <w:rPr>
                <w:rFonts w:ascii="Arial" w:eastAsia="Times New Roman" w:hAnsi="Arial" w:cs="Arial"/>
                <w:bCs/>
                <w:sz w:val="20"/>
                <w:szCs w:val="20"/>
                <w:vertAlign w:val="superscript"/>
                <w:lang w:eastAsia="en-SG"/>
              </w:rPr>
              <w:t>_______</w:t>
            </w:r>
          </w:p>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i/>
                <w:iCs/>
                <w:sz w:val="20"/>
                <w:szCs w:val="20"/>
                <w:lang w:eastAsia="en-SG"/>
              </w:rPr>
              <w:t>Hà Nội, ngày 29 tháng 12 năm 2023</w:t>
            </w:r>
          </w:p>
        </w:tc>
      </w:tr>
    </w:tbl>
    <w:p w:rsidR="00796D83" w:rsidRDefault="00796D83" w:rsidP="00796D83">
      <w:pPr>
        <w:shd w:val="clear" w:color="auto" w:fill="FFFFFF"/>
        <w:spacing w:after="0" w:line="240" w:lineRule="auto"/>
        <w:jc w:val="center"/>
        <w:rPr>
          <w:rFonts w:ascii="Arial" w:eastAsia="Times New Roman" w:hAnsi="Arial" w:cs="Arial"/>
          <w:b/>
          <w:bCs/>
          <w:sz w:val="20"/>
          <w:szCs w:val="20"/>
          <w:lang w:eastAsia="en-SG"/>
        </w:rPr>
      </w:pPr>
      <w:bookmarkStart w:id="0" w:name="loai_1"/>
    </w:p>
    <w:p w:rsidR="00796D83" w:rsidRDefault="00796D83" w:rsidP="00796D83">
      <w:pPr>
        <w:shd w:val="clear" w:color="auto" w:fill="FFFFFF"/>
        <w:spacing w:after="0" w:line="240" w:lineRule="auto"/>
        <w:jc w:val="center"/>
        <w:rPr>
          <w:rFonts w:ascii="Arial" w:eastAsia="Times New Roman" w:hAnsi="Arial" w:cs="Arial"/>
          <w:b/>
          <w:bCs/>
          <w:sz w:val="20"/>
          <w:szCs w:val="20"/>
          <w:lang w:eastAsia="en-SG"/>
        </w:rPr>
      </w:pPr>
    </w:p>
    <w:p w:rsidR="00796D83" w:rsidRPr="00796D83" w:rsidRDefault="00796D83" w:rsidP="00796D83">
      <w:pPr>
        <w:shd w:val="clear" w:color="auto" w:fill="FFFFFF"/>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THÔNG TƯ</w:t>
      </w:r>
      <w:bookmarkEnd w:id="0"/>
    </w:p>
    <w:p w:rsidR="00796D83" w:rsidRDefault="00796D83" w:rsidP="00796D83">
      <w:pPr>
        <w:shd w:val="clear" w:color="auto" w:fill="FFFFFF"/>
        <w:spacing w:after="0" w:line="240" w:lineRule="auto"/>
        <w:jc w:val="center"/>
        <w:rPr>
          <w:rFonts w:ascii="Arial" w:eastAsia="Times New Roman" w:hAnsi="Arial" w:cs="Arial"/>
          <w:b/>
          <w:sz w:val="20"/>
          <w:szCs w:val="20"/>
          <w:lang w:eastAsia="en-SG"/>
        </w:rPr>
      </w:pPr>
      <w:r w:rsidRPr="00796D83">
        <w:rPr>
          <w:rFonts w:ascii="Arial" w:eastAsia="Times New Roman" w:hAnsi="Arial" w:cs="Arial"/>
          <w:b/>
          <w:sz w:val="20"/>
          <w:szCs w:val="20"/>
          <w:lang w:eastAsia="en-SG"/>
        </w:rPr>
        <w:t xml:space="preserve">Quy định phạm vi hoạt động khám bệnh, chữa bệnh và nội dung chuyên môn, </w:t>
      </w:r>
    </w:p>
    <w:p w:rsidR="00796D83" w:rsidRDefault="00796D83" w:rsidP="00796D83">
      <w:pPr>
        <w:shd w:val="clear" w:color="auto" w:fill="FFFFFF"/>
        <w:spacing w:after="0" w:line="240" w:lineRule="auto"/>
        <w:jc w:val="center"/>
        <w:rPr>
          <w:rFonts w:ascii="Arial" w:eastAsia="Times New Roman" w:hAnsi="Arial" w:cs="Arial"/>
          <w:b/>
          <w:sz w:val="20"/>
          <w:szCs w:val="20"/>
          <w:lang w:eastAsia="en-SG"/>
        </w:rPr>
      </w:pPr>
      <w:r w:rsidRPr="00796D83">
        <w:rPr>
          <w:rFonts w:ascii="Arial" w:eastAsia="Times New Roman" w:hAnsi="Arial" w:cs="Arial"/>
          <w:b/>
          <w:sz w:val="20"/>
          <w:szCs w:val="20"/>
          <w:lang w:eastAsia="en-SG"/>
        </w:rPr>
        <w:t xml:space="preserve">nghiệp vụ của chương trình đào tạo nhân viên y tế làm việc tại y tế cơ quan, </w:t>
      </w:r>
    </w:p>
    <w:p w:rsidR="00796D83" w:rsidRDefault="00796D83" w:rsidP="00796D83">
      <w:pPr>
        <w:shd w:val="clear" w:color="auto" w:fill="FFFFFF"/>
        <w:spacing w:after="0" w:line="240" w:lineRule="auto"/>
        <w:jc w:val="center"/>
        <w:rPr>
          <w:rFonts w:ascii="Arial" w:eastAsia="Times New Roman" w:hAnsi="Arial" w:cs="Arial"/>
          <w:b/>
          <w:sz w:val="20"/>
          <w:szCs w:val="20"/>
          <w:lang w:eastAsia="en-SG"/>
        </w:rPr>
      </w:pPr>
      <w:r w:rsidRPr="00796D83">
        <w:rPr>
          <w:rFonts w:ascii="Arial" w:eastAsia="Times New Roman" w:hAnsi="Arial" w:cs="Arial"/>
          <w:b/>
          <w:sz w:val="20"/>
          <w:szCs w:val="20"/>
          <w:lang w:eastAsia="en-SG"/>
        </w:rPr>
        <w:t>đơn vị, tổ chức mà không thành lập cơ sở khám bệnh, chữa bệnh</w:t>
      </w:r>
    </w:p>
    <w:p w:rsidR="00796D83" w:rsidRPr="00796D83" w:rsidRDefault="00796D83" w:rsidP="00796D83">
      <w:pPr>
        <w:shd w:val="clear" w:color="auto" w:fill="FFFFFF"/>
        <w:spacing w:after="0" w:line="240" w:lineRule="auto"/>
        <w:jc w:val="center"/>
        <w:rPr>
          <w:rFonts w:ascii="Arial" w:eastAsia="Times New Roman" w:hAnsi="Arial" w:cs="Arial"/>
          <w:b/>
          <w:sz w:val="20"/>
          <w:szCs w:val="20"/>
          <w:lang w:eastAsia="en-SG"/>
        </w:rPr>
      </w:pPr>
      <w:r w:rsidRPr="00796D83">
        <w:rPr>
          <w:rFonts w:ascii="Arial" w:eastAsia="Times New Roman" w:hAnsi="Arial" w:cs="Arial"/>
          <w:bCs/>
          <w:sz w:val="20"/>
          <w:szCs w:val="20"/>
          <w:vertAlign w:val="superscript"/>
          <w:lang w:eastAsia="en-SG"/>
        </w:rPr>
        <w:t>____________</w:t>
      </w:r>
      <w:r>
        <w:rPr>
          <w:rFonts w:ascii="Arial" w:eastAsia="Times New Roman" w:hAnsi="Arial" w:cs="Arial"/>
          <w:bCs/>
          <w:sz w:val="20"/>
          <w:szCs w:val="20"/>
          <w:vertAlign w:val="superscript"/>
          <w:lang w:eastAsia="en-SG"/>
        </w:rPr>
        <w:t>_________</w:t>
      </w:r>
    </w:p>
    <w:p w:rsidR="00796D83" w:rsidRPr="00796D83" w:rsidRDefault="00796D83" w:rsidP="00796D83">
      <w:pPr>
        <w:shd w:val="clear" w:color="auto" w:fill="FFFFFF"/>
        <w:spacing w:after="0" w:line="240" w:lineRule="auto"/>
        <w:jc w:val="center"/>
        <w:rPr>
          <w:rFonts w:ascii="Arial" w:eastAsia="Times New Roman" w:hAnsi="Arial" w:cs="Arial"/>
          <w:sz w:val="20"/>
          <w:szCs w:val="20"/>
          <w:lang w:eastAsia="en-SG"/>
        </w:rPr>
      </w:pP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i/>
          <w:iCs/>
          <w:sz w:val="20"/>
          <w:szCs w:val="20"/>
          <w:lang w:eastAsia="en-SG"/>
        </w:rPr>
        <w:t>Căn cứ Luật Khám bệnh, chữa bệnh số 15/2023/QH15 ngày 09 tháng 01 năm 2023;</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i/>
          <w:iCs/>
          <w:sz w:val="20"/>
          <w:szCs w:val="20"/>
          <w:lang w:eastAsia="en-SG"/>
        </w:rPr>
        <w:t>Căn cứ Nghị định số 95/2022/NĐ-CP ngày 15 tháng 11 năm 2022 của Chính phủ quy định chức năng, nhiệm vụ, quyền hạn và cơ cấu tổ chức của Bộ Y tế;</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i/>
          <w:iCs/>
          <w:sz w:val="20"/>
          <w:szCs w:val="20"/>
          <w:lang w:eastAsia="en-SG"/>
        </w:rPr>
        <w:t>Theo đề nghị của Cục trưởng Cục Quản lý Môi trường y tế;</w:t>
      </w:r>
    </w:p>
    <w:p w:rsidR="00796D83" w:rsidRDefault="00796D83" w:rsidP="00796D83">
      <w:pPr>
        <w:shd w:val="clear" w:color="auto" w:fill="FFFFFF"/>
        <w:spacing w:after="0" w:line="240" w:lineRule="auto"/>
        <w:ind w:firstLine="720"/>
        <w:jc w:val="both"/>
        <w:rPr>
          <w:rFonts w:ascii="Arial" w:eastAsia="Times New Roman" w:hAnsi="Arial" w:cs="Arial"/>
          <w:i/>
          <w:iCs/>
          <w:sz w:val="20"/>
          <w:szCs w:val="20"/>
          <w:lang w:eastAsia="en-SG"/>
        </w:rPr>
      </w:pPr>
      <w:r w:rsidRPr="00796D83">
        <w:rPr>
          <w:rFonts w:ascii="Arial" w:eastAsia="Times New Roman" w:hAnsi="Arial" w:cs="Arial"/>
          <w:i/>
          <w:iCs/>
          <w:sz w:val="20"/>
          <w:szCs w:val="20"/>
          <w:lang w:eastAsia="en-SG"/>
        </w:rPr>
        <w:t>Bộ trưởng Bộ Y tế ban hành Thông tư quy định phạm vi hoạt động khám bệnh, chữa bệnh và nội dung chuyên môn, nghiệp vụ của chương trình đào tạo nhân viên y tế làm việc tại y tế cơ quan, đơn vị, tổ chức mà không thành lập cơ sở khám bệnh, chữa bệnh.</w:t>
      </w:r>
    </w:p>
    <w:p w:rsidR="00796D83" w:rsidRPr="00796D83" w:rsidRDefault="00796D83" w:rsidP="00796D83">
      <w:pPr>
        <w:shd w:val="clear" w:color="auto" w:fill="FFFFFF"/>
        <w:spacing w:after="0" w:line="240" w:lineRule="auto"/>
        <w:ind w:firstLine="720"/>
        <w:jc w:val="both"/>
        <w:rPr>
          <w:rFonts w:ascii="Arial" w:eastAsia="Times New Roman" w:hAnsi="Arial" w:cs="Arial"/>
          <w:sz w:val="20"/>
          <w:szCs w:val="20"/>
          <w:lang w:eastAsia="en-SG"/>
        </w:rPr>
      </w:pP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b/>
          <w:bCs/>
          <w:sz w:val="20"/>
          <w:szCs w:val="20"/>
          <w:lang w:eastAsia="en-SG"/>
        </w:rPr>
        <w:t>Điều 1. Phạm vi điều chỉnh</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Thông tư này hướng dẫn </w:t>
      </w:r>
      <w:bookmarkStart w:id="1" w:name="dc_1"/>
      <w:r w:rsidRPr="00796D83">
        <w:rPr>
          <w:rFonts w:ascii="Arial" w:eastAsia="Times New Roman" w:hAnsi="Arial" w:cs="Arial"/>
          <w:sz w:val="20"/>
          <w:szCs w:val="20"/>
          <w:lang w:eastAsia="en-SG"/>
        </w:rPr>
        <w:t>điểm b khoản 2 Điều 19 Luật Khám bệnh, chữa bệnh số 15/2023/QH15</w:t>
      </w:r>
      <w:bookmarkEnd w:id="1"/>
      <w:r w:rsidRPr="00796D83">
        <w:rPr>
          <w:rFonts w:ascii="Arial" w:eastAsia="Times New Roman" w:hAnsi="Arial" w:cs="Arial"/>
          <w:sz w:val="20"/>
          <w:szCs w:val="20"/>
          <w:lang w:eastAsia="en-SG"/>
        </w:rPr>
        <w:t> về phạm vi hoạt động khám bệnh, chữa bệnh và nội dung chuyên môn, nghiệp vụ của chương trình đào tạo nhân viên y tế làm việc tại y tế cơ quan, đơn vị, tổ chức mà không thành lập cơ sở khám bệnh, chữa bệnh.</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b/>
          <w:bCs/>
          <w:sz w:val="20"/>
          <w:szCs w:val="20"/>
          <w:lang w:eastAsia="en-SG"/>
        </w:rPr>
        <w:t>Điều 2. Giải thích từ ngữ</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1. Y tế cơ quan, đơn vị, tổ chức bao gồm:</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a) Y tế của cơ quan nhà nước, đơn vị sự nghiệp;</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b) Y tế của cơ sở sản xuất, kinh doanh;</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c) Y tế của các cơ sở giáo dục;</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d) Y tế của các đơn vị, tổ chức khác.</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2. Nhân viên y tế cơ quan, đơn vị, tổ chức quy định tại các điểm a, b và d khoản 1 Điều này bao gồm:</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a) Nhân viên y tế của cơ quan nhà nước, đơn vị sự nghiệp và các đơn vị, tổ chức khác đáp ứng điều kiện quy định tại Phụ lục III và Phụ lục VIII ban hành kèm theo Thông tư số 12/2022/TT-BNV ngày 30 tháng 12 năm 2022 của Bộ trưởng Bộ Nội vụ hướng dẫn về vị trí việc làm công chức lãnh đạo, quản lý; nghiệp vụ chuyên môn dùng chung; hỗ trợ, phục vụ trong cơ quan, tổ chức hành chính và vị trí việc làm chức danh nghề nghiệp chuyên môn dùng chung; hỗ trợ, phục vụ trong đơn vị sự nghiệp công lập;</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b) Nhân viên y tế cơ sở sản xuất, kinh doanh là người làm công tác y tế đáp ứng điều kiện quy định tại </w:t>
      </w:r>
      <w:bookmarkStart w:id="2" w:name="dc_2"/>
      <w:r w:rsidRPr="00796D83">
        <w:rPr>
          <w:rFonts w:ascii="Arial" w:eastAsia="Times New Roman" w:hAnsi="Arial" w:cs="Arial"/>
          <w:sz w:val="20"/>
          <w:szCs w:val="20"/>
          <w:lang w:eastAsia="en-SG"/>
        </w:rPr>
        <w:t>khoản 3 Điều 37 Nghị định số 39/2016/NĐ-CP</w:t>
      </w:r>
      <w:bookmarkEnd w:id="2"/>
      <w:r w:rsidRPr="00796D83">
        <w:rPr>
          <w:rFonts w:ascii="Arial" w:eastAsia="Times New Roman" w:hAnsi="Arial" w:cs="Arial"/>
          <w:sz w:val="20"/>
          <w:szCs w:val="20"/>
          <w:lang w:eastAsia="en-SG"/>
        </w:rPr>
        <w:t> ngày 15 tháng 5 năm 2016 của Chính phủ quy định chi tiết một số điều của Luật an toàn, vệ sinh lao động.</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3. Nhân viên y tế tại các cơ sở giáo dục quy định tại điểm c khoản 1 Điều này bao gồm:</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a) Người có trình độ chuyên môn y tế làm công tác y tế trường học đáp ứng quy định tại </w:t>
      </w:r>
      <w:bookmarkStart w:id="3" w:name="dc_3"/>
      <w:r w:rsidRPr="00796D83">
        <w:rPr>
          <w:rFonts w:ascii="Arial" w:eastAsia="Times New Roman" w:hAnsi="Arial" w:cs="Arial"/>
          <w:sz w:val="20"/>
          <w:szCs w:val="20"/>
          <w:lang w:eastAsia="en-SG"/>
        </w:rPr>
        <w:t>khoản 2 Điều 8 Thông tư liên tịch số 13/2016/TTLT-BYT-BGDĐT</w:t>
      </w:r>
      <w:bookmarkEnd w:id="3"/>
      <w:r w:rsidRPr="00796D83">
        <w:rPr>
          <w:rFonts w:ascii="Arial" w:eastAsia="Times New Roman" w:hAnsi="Arial" w:cs="Arial"/>
          <w:sz w:val="20"/>
          <w:szCs w:val="20"/>
          <w:lang w:eastAsia="en-SG"/>
        </w:rPr>
        <w:t> ngày 12 tháng 5 năm 2016 của Bộ trưởng Bộ Y tế và Bộ trưởng Bộ Giáo dục và Đào tạo quy định về công tác y tế trường học (sau đây viết tắt là Thông tư liên tịch số 13/2016/TTLT-BYT-BGDĐT); </w:t>
      </w:r>
      <w:bookmarkStart w:id="4" w:name="dc_4"/>
      <w:r w:rsidRPr="00796D83">
        <w:rPr>
          <w:rFonts w:ascii="Arial" w:eastAsia="Times New Roman" w:hAnsi="Arial" w:cs="Arial"/>
          <w:sz w:val="20"/>
          <w:szCs w:val="20"/>
          <w:lang w:eastAsia="en-SG"/>
        </w:rPr>
        <w:t>khoản 2 Điều 7 Thông tư số 33/2021/TT-BYT</w:t>
      </w:r>
      <w:bookmarkEnd w:id="4"/>
      <w:r w:rsidRPr="00796D83">
        <w:rPr>
          <w:rFonts w:ascii="Arial" w:eastAsia="Times New Roman" w:hAnsi="Arial" w:cs="Arial"/>
          <w:sz w:val="20"/>
          <w:szCs w:val="20"/>
          <w:lang w:eastAsia="en-SG"/>
        </w:rPr>
        <w:t> ngày 31 tháng 12 năm 2021 của Bộ trưởng Bộ Y tế quy định về công tác y tế trường học trong cơ sở giáo dục đại học và cơ sở giáo dục nghề nghiệp (sau đây viết tắt là Thông tư số 33/2021/TT-BYT);</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b) Người có trình độ chuyên môn y tế chưa đáp ứng quy định tại Thông tư liên tịch số 13/2016/TTLT-BYT-BGDĐT, Thông tư số 33/2021/TT-BYT và người không có trình độ chuyên môn y tế được giao nhiệm vụ thực hiện công tác y tế trường học.</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b/>
          <w:bCs/>
          <w:sz w:val="20"/>
          <w:szCs w:val="20"/>
          <w:lang w:eastAsia="en-SG"/>
        </w:rPr>
        <w:lastRenderedPageBreak/>
        <w:t>Điều 3. Phạm vi hoạt động khám bệnh, chữa bệnh và nội dung chuyên môn, nghiệp vụ của chương trình đào tạo đối với nhân viên y tế làm việc tại y tế cơ quan, đơn vị, tổ chức được quy định tại điểm a, b, d khoản 1 Điều 2 Thông tư này</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1. Trường hợp nhân viên y tế không có văn bằng đào tạo y sỹ, bác sỹ và đã hoàn thành chương trình đào tạo theo nội dung chuyên môn, nghiệp vụ quy định tại khoản 3 Điều này được khám bệnh, chữa bệnh trong phạm vi hoạt động theo:</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a) Danh mục quy định tại Phụ lục I ban hành kèm theo Thông tư này;</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b) Chỉ định của người được phép hành nghề khám bệnh, chữa bệnh: tiêm (chích), lấy mẫu xét nghiệm (máu, nước tiểu, dịch tiết).</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2. Trường hợp nhân viên y tế có văn bằng đào tạo y sỹ, bác sỹ và đã hoàn thành chương trình đào tạo theo nội dung chuyên môn, nghiệp vụ quy định tại khoản 3 Điều này thì ngoài phạm vi hoạt động khám bệnh, chữa bệnh quy định tại khoản 1 Điều này được khám phát hiện sớm, xử trí ban đầu, tư vấn người bệnh đến cơ sở y tế trong trường hợp cần thiết đối với các bệnh quy định tại Phụ lục II ban hành kèm theo Thông tư này.</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3. Nội dung chuyên môn, nghiệp vụ của chương trình đào tạo: Nhân viên y tế phải được đào tạo, cấp chứng chỉ chứng nhận chuyên môn về y tế lao động quy định tại Thông tư số 29/2021/TT-BYT ngày 24 tháng 12 năm 2021 của Bộ trưởng Bộ Y tế về hướng dẫn hoạt động đào tạo chuyên môn về y tế lao động.</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b/>
          <w:bCs/>
          <w:sz w:val="20"/>
          <w:szCs w:val="20"/>
          <w:lang w:eastAsia="en-SG"/>
        </w:rPr>
        <w:t>Điều 4. Phạm vi hoạt động khám bệnh, chữa bệnh và nội dung chuyên môn, nghiệp vụ của chương trình đào tạo đối với nhân viên y tế làm việc tại cơ sở giáo dục quy định tại điểm c khoản 1 Điều 2 của Thông tư này</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1. Trường hợp nhân viên y tế không có văn bằng đào tạo y sỹ, bác sỹ và đã hoàn thành chương trình đào tạo theo nội dung chuyên môn, nghiệp vụ quy định tại khoản 3 Điều này được khám bệnh, chữa bệnh trong phạm vi hoạt động theo quy định tại Phụ lục I ban hành kèm theo Thông tư này.</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2. Trường hợp nhân viên y tế có văn bằng đào tạo y sỹ, bác sỹ và đã hoàn thành chương trình đào tạo theo nội dung chuyên môn, nghiệp vụ quy định tại khoản 3 Điều này thì ngoài phạm vi hoạt động khám bệnh, chữa bệnh quy định tại khoản 1 Điều này được khám phát hiện sớm, xử trí ban đầu, tư vấn người bệnh đến cơ sở y tế trong trường hợp cần thiết đối với các bệnh quy định tại Phụ lục III ban hành kèm theo Thông tư này.</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3. Nội dung chuyên môn, nghiệp vụ của chương trình đào tạo:</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a) Nội dung chuyên môn, nghiệp vụ của chương trình đào tạo được quy định tại Phụ lục IV ban hành kèm theo Thông tư này;</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b) Thời gian đào tạo lần đầu là 40 giờ, bao gồm cả thời gian kiểm tra đánh giá, chú trọng huấn luyện kỹ năng thực hành chuyên môn, nghiệp vụ. Đào tạo cập nhật chuyên môn được thực hiện 05 năm một lần với thời gian đào tạo cập nhật ít nhất bằng 50% thời gian đào tạo lần đầu, bao gồm cả thời gian kiểm tra đánh giá;</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c) Cơ sở giáo dục đào tạo khối ngành sức khỏe, cơ sở y tế có chức năng hoặc được giao nhiệm vụ đào tạo nhân lực y tế (sau đây gọi tắt là cơ sở đào tạo) xây dựng, thẩm định, ban hành chương trình, tài liệu đào tạo phù hợp với từng đối tượng đào tạo; công bố công khai thông tin về khóa đào tạo trên Trang thông tin điện tử của cơ sở đào tạo trước khi tổ chức đào tạo và tổ chức đào tạo, cấp chứng chỉ theo quy định pháp luật hiện hành về giáo dục.</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d) Hình thức đào tạo: Tập trung.</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b/>
          <w:bCs/>
          <w:sz w:val="20"/>
          <w:szCs w:val="20"/>
          <w:lang w:eastAsia="en-SG"/>
        </w:rPr>
        <w:t>Điều 5. Điều khoản tham chiếu</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Trường hợp các văn bản được dẫn chiếu trong Thông tư này bị thay thế hoặc sửa đổi, bổ sung thì áp dụng theo văn bản mới.</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b/>
          <w:bCs/>
          <w:sz w:val="20"/>
          <w:szCs w:val="20"/>
          <w:lang w:eastAsia="en-SG"/>
        </w:rPr>
        <w:t>Điều 6. Hiệu lực thi hành</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1. Thông tư này có hiệu lực từ ngày 01 tháng 01 năm 2024.</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2. Nhân viên y tế làm việc tại cơ sở giáo dục tiếp tục được thực hiện các nội dung liên quan đến khám bệnh, chữa bệnh đã được quy định tại Thông tư liên tịch số 13/2016/TTLT-BYT-BGDĐT, Thông tư số 33/2021/TT-BYT và phải hoàn thành việc đào tạo chuyên môn, nghiệp vụ khám bệnh, chữa bệnh theo quy định tại Thông tư này trước ngày 31 tháng 12 năm 2025.</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b/>
          <w:bCs/>
          <w:sz w:val="20"/>
          <w:szCs w:val="20"/>
          <w:lang w:eastAsia="en-SG"/>
        </w:rPr>
        <w:lastRenderedPageBreak/>
        <w:t>Điều 7. Trách nhiệm thi hành</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Cục trưởng Cục Quản lý Môi trường y tế, Chánh Văn phòng Bộ, Vụ trưởng, Cục trưởng các Vụ, Cục thuộc Bộ Y tế, Giám đốc Sở Y tế các tỉnh, thành phố trực thuộc trung ương và các cơ quan, tổ chức, cá nhân có liên quan chịu trách nhiệm thi hành Thông tư này.</w:t>
      </w:r>
    </w:p>
    <w:p w:rsidR="00796D83" w:rsidRDefault="00796D83" w:rsidP="00796D83">
      <w:pPr>
        <w:shd w:val="clear" w:color="auto" w:fill="FFFFFF"/>
        <w:spacing w:after="0" w:line="240" w:lineRule="auto"/>
        <w:ind w:firstLine="720"/>
        <w:jc w:val="both"/>
        <w:rPr>
          <w:rFonts w:ascii="Arial" w:eastAsia="Times New Roman" w:hAnsi="Arial" w:cs="Arial"/>
          <w:sz w:val="20"/>
          <w:szCs w:val="20"/>
          <w:lang w:eastAsia="en-SG"/>
        </w:rPr>
      </w:pPr>
      <w:r w:rsidRPr="00796D83">
        <w:rPr>
          <w:rFonts w:ascii="Arial" w:eastAsia="Times New Roman" w:hAnsi="Arial" w:cs="Arial"/>
          <w:sz w:val="20"/>
          <w:szCs w:val="20"/>
          <w:lang w:eastAsia="en-SG"/>
        </w:rPr>
        <w:t>Trong quá trình thực hiện nếu có khó khăn vướng mắc, cơ quan, tổ chức, cá nhân phản ánh về Bộ Y tế (Cục Quản lý Môi trường y tế) để xem xét giải quyết./.</w:t>
      </w:r>
    </w:p>
    <w:p w:rsidR="00796D83" w:rsidRPr="00796D83" w:rsidRDefault="00796D83" w:rsidP="00796D83">
      <w:pPr>
        <w:shd w:val="clear" w:color="auto" w:fill="FFFFFF"/>
        <w:spacing w:after="0" w:line="240" w:lineRule="auto"/>
        <w:rPr>
          <w:rFonts w:ascii="Arial" w:eastAsia="Times New Roman" w:hAnsi="Arial" w:cs="Arial"/>
          <w:sz w:val="20"/>
          <w:szCs w:val="20"/>
          <w:lang w:eastAsia="en-SG"/>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796D83" w:rsidRPr="00796D83" w:rsidTr="00796D83">
        <w:trPr>
          <w:tblCellSpacing w:w="0" w:type="dxa"/>
        </w:trPr>
        <w:tc>
          <w:tcPr>
            <w:tcW w:w="2500" w:type="pct"/>
            <w:shd w:val="clear" w:color="auto" w:fill="FFFFFF"/>
            <w:tcMar>
              <w:top w:w="0" w:type="dxa"/>
              <w:left w:w="108" w:type="dxa"/>
              <w:bottom w:w="0" w:type="dxa"/>
              <w:right w:w="108" w:type="dxa"/>
            </w:tcMa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b/>
                <w:bCs/>
                <w:i/>
                <w:iCs/>
                <w:sz w:val="20"/>
                <w:szCs w:val="20"/>
                <w:lang w:eastAsia="en-SG"/>
              </w:rPr>
              <w:t>Nơi nhận:</w:t>
            </w:r>
            <w:r w:rsidRPr="00796D83">
              <w:rPr>
                <w:rFonts w:ascii="Arial" w:eastAsia="Times New Roman" w:hAnsi="Arial" w:cs="Arial"/>
                <w:b/>
                <w:bCs/>
                <w:i/>
                <w:iCs/>
                <w:sz w:val="20"/>
                <w:szCs w:val="20"/>
                <w:lang w:eastAsia="en-SG"/>
              </w:rPr>
              <w:br/>
            </w:r>
            <w:r w:rsidRPr="00796D83">
              <w:rPr>
                <w:rFonts w:ascii="Arial" w:eastAsia="Times New Roman" w:hAnsi="Arial" w:cs="Arial"/>
                <w:sz w:val="20"/>
                <w:szCs w:val="20"/>
                <w:lang w:eastAsia="en-SG"/>
              </w:rPr>
              <w:t>- Ủy ban Xã hội của Quốc hội;</w:t>
            </w:r>
            <w:r w:rsidRPr="00796D83">
              <w:rPr>
                <w:rFonts w:ascii="Arial" w:eastAsia="Times New Roman" w:hAnsi="Arial" w:cs="Arial"/>
                <w:sz w:val="20"/>
                <w:szCs w:val="20"/>
                <w:lang w:eastAsia="en-SG"/>
              </w:rPr>
              <w:br/>
              <w:t>- Văn phòng Chính phủ (Cổng TTĐT Chính phủ);</w:t>
            </w:r>
            <w:r w:rsidRPr="00796D83">
              <w:rPr>
                <w:rFonts w:ascii="Arial" w:eastAsia="Times New Roman" w:hAnsi="Arial" w:cs="Arial"/>
                <w:sz w:val="20"/>
                <w:szCs w:val="20"/>
                <w:lang w:eastAsia="en-SG"/>
              </w:rPr>
              <w:br/>
              <w:t>- Bộ, cơ quan ngang bộ, cơ quan thuộc Chính phủ;</w:t>
            </w:r>
            <w:r w:rsidRPr="00796D83">
              <w:rPr>
                <w:rFonts w:ascii="Arial" w:eastAsia="Times New Roman" w:hAnsi="Arial" w:cs="Arial"/>
                <w:sz w:val="20"/>
                <w:szCs w:val="20"/>
                <w:lang w:eastAsia="en-SG"/>
              </w:rPr>
              <w:br/>
              <w:t>- Bộ Tư pháp (Cục Kiểm tra VBQPPL);</w:t>
            </w:r>
            <w:r w:rsidRPr="00796D83">
              <w:rPr>
                <w:rFonts w:ascii="Arial" w:eastAsia="Times New Roman" w:hAnsi="Arial" w:cs="Arial"/>
                <w:sz w:val="20"/>
                <w:szCs w:val="20"/>
                <w:lang w:eastAsia="en-SG"/>
              </w:rPr>
              <w:br/>
              <w:t>- Bộ trưởng Bộ Y tế;</w:t>
            </w:r>
            <w:r w:rsidRPr="00796D83">
              <w:rPr>
                <w:rFonts w:ascii="Arial" w:eastAsia="Times New Roman" w:hAnsi="Arial" w:cs="Arial"/>
                <w:sz w:val="20"/>
                <w:szCs w:val="20"/>
                <w:lang w:eastAsia="en-SG"/>
              </w:rPr>
              <w:br/>
              <w:t>- Các Thứ trưởng Bộ Y tế;</w:t>
            </w:r>
            <w:r w:rsidRPr="00796D83">
              <w:rPr>
                <w:rFonts w:ascii="Arial" w:eastAsia="Times New Roman" w:hAnsi="Arial" w:cs="Arial"/>
                <w:sz w:val="20"/>
                <w:szCs w:val="20"/>
                <w:lang w:eastAsia="en-SG"/>
              </w:rPr>
              <w:br/>
              <w:t>- UBND tỉnh, thành phố trực thuộc TW;</w:t>
            </w:r>
            <w:r w:rsidRPr="00796D83">
              <w:rPr>
                <w:rFonts w:ascii="Arial" w:eastAsia="Times New Roman" w:hAnsi="Arial" w:cs="Arial"/>
                <w:sz w:val="20"/>
                <w:szCs w:val="20"/>
                <w:lang w:eastAsia="en-SG"/>
              </w:rPr>
              <w:br/>
              <w:t>- Sở Y tế tỉnh, thành phố trực thuộc TW;</w:t>
            </w:r>
            <w:r w:rsidRPr="00796D83">
              <w:rPr>
                <w:rFonts w:ascii="Arial" w:eastAsia="Times New Roman" w:hAnsi="Arial" w:cs="Arial"/>
                <w:sz w:val="20"/>
                <w:szCs w:val="20"/>
                <w:lang w:eastAsia="en-SG"/>
              </w:rPr>
              <w:br/>
              <w:t>- Đơn vị trực thuộc Bộ;</w:t>
            </w:r>
            <w:r w:rsidRPr="00796D83">
              <w:rPr>
                <w:rFonts w:ascii="Arial" w:eastAsia="Times New Roman" w:hAnsi="Arial" w:cs="Arial"/>
                <w:sz w:val="20"/>
                <w:szCs w:val="20"/>
                <w:lang w:eastAsia="en-SG"/>
              </w:rPr>
              <w:br/>
              <w:t>- Các Vụ, Cục, Tổng cục, Văn phòng Bộ, Thanh tra Bộ;</w:t>
            </w:r>
            <w:r w:rsidRPr="00796D83">
              <w:rPr>
                <w:rFonts w:ascii="Arial" w:eastAsia="Times New Roman" w:hAnsi="Arial" w:cs="Arial"/>
                <w:sz w:val="20"/>
                <w:szCs w:val="20"/>
                <w:lang w:eastAsia="en-SG"/>
              </w:rPr>
              <w:br/>
              <w:t>- Cổng thông tin điện tử Bộ Y tế;</w:t>
            </w:r>
            <w:r w:rsidRPr="00796D83">
              <w:rPr>
                <w:rFonts w:ascii="Arial" w:eastAsia="Times New Roman" w:hAnsi="Arial" w:cs="Arial"/>
                <w:sz w:val="20"/>
                <w:szCs w:val="20"/>
                <w:lang w:eastAsia="en-SG"/>
              </w:rPr>
              <w:br/>
              <w:t>- Lưu: VT, PC, MT</w:t>
            </w:r>
            <w:r w:rsidRPr="00796D83">
              <w:rPr>
                <w:rFonts w:ascii="Arial" w:eastAsia="Times New Roman" w:hAnsi="Arial" w:cs="Arial"/>
                <w:sz w:val="20"/>
                <w:szCs w:val="20"/>
                <w:vertAlign w:val="subscript"/>
                <w:lang w:eastAsia="en-SG"/>
              </w:rPr>
              <w:t>(03)</w:t>
            </w:r>
            <w:r w:rsidRPr="00796D83">
              <w:rPr>
                <w:rFonts w:ascii="Arial" w:eastAsia="Times New Roman" w:hAnsi="Arial" w:cs="Arial"/>
                <w:sz w:val="20"/>
                <w:szCs w:val="20"/>
                <w:lang w:eastAsia="en-SG"/>
              </w:rPr>
              <w:t>.</w:t>
            </w:r>
          </w:p>
        </w:tc>
        <w:tc>
          <w:tcPr>
            <w:tcW w:w="2500" w:type="pct"/>
            <w:shd w:val="clear" w:color="auto" w:fill="FFFFFF"/>
            <w:tcMar>
              <w:top w:w="0" w:type="dxa"/>
              <w:left w:w="108" w:type="dxa"/>
              <w:bottom w:w="0" w:type="dxa"/>
              <w:right w:w="108" w:type="dxa"/>
            </w:tcMa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KT. BỘ TRƯỞNG</w:t>
            </w:r>
            <w:r w:rsidRPr="00796D83">
              <w:rPr>
                <w:rFonts w:ascii="Arial" w:eastAsia="Times New Roman" w:hAnsi="Arial" w:cs="Arial"/>
                <w:b/>
                <w:bCs/>
                <w:sz w:val="20"/>
                <w:szCs w:val="20"/>
                <w:lang w:eastAsia="en-SG"/>
              </w:rPr>
              <w:br/>
              <w:t>THỨ TRƯỞNG</w:t>
            </w:r>
            <w:r w:rsidRPr="00796D83">
              <w:rPr>
                <w:rFonts w:ascii="Arial" w:eastAsia="Times New Roman" w:hAnsi="Arial" w:cs="Arial"/>
                <w:b/>
                <w:bCs/>
                <w:sz w:val="20"/>
                <w:szCs w:val="20"/>
                <w:lang w:eastAsia="en-SG"/>
              </w:rPr>
              <w:br/>
            </w:r>
            <w:r w:rsidRPr="00796D83">
              <w:rPr>
                <w:rFonts w:ascii="Arial" w:eastAsia="Times New Roman" w:hAnsi="Arial" w:cs="Arial"/>
                <w:b/>
                <w:bCs/>
                <w:sz w:val="20"/>
                <w:szCs w:val="20"/>
                <w:lang w:eastAsia="en-SG"/>
              </w:rPr>
              <w:br/>
            </w:r>
            <w:r w:rsidRPr="00796D83">
              <w:rPr>
                <w:rFonts w:ascii="Arial" w:eastAsia="Times New Roman" w:hAnsi="Arial" w:cs="Arial"/>
                <w:b/>
                <w:bCs/>
                <w:sz w:val="20"/>
                <w:szCs w:val="20"/>
                <w:lang w:eastAsia="en-SG"/>
              </w:rPr>
              <w:br/>
            </w:r>
            <w:r w:rsidRPr="00796D83">
              <w:rPr>
                <w:rFonts w:ascii="Arial" w:eastAsia="Times New Roman" w:hAnsi="Arial" w:cs="Arial"/>
                <w:b/>
                <w:bCs/>
                <w:sz w:val="20"/>
                <w:szCs w:val="20"/>
                <w:lang w:eastAsia="en-SG"/>
              </w:rPr>
              <w:br/>
            </w:r>
            <w:r w:rsidRPr="00796D83">
              <w:rPr>
                <w:rFonts w:ascii="Arial" w:eastAsia="Times New Roman" w:hAnsi="Arial" w:cs="Arial"/>
                <w:b/>
                <w:bCs/>
                <w:sz w:val="20"/>
                <w:szCs w:val="20"/>
                <w:lang w:eastAsia="en-SG"/>
              </w:rPr>
              <w:br/>
              <w:t>Nguyễn Thị Liên Hương</w:t>
            </w:r>
          </w:p>
        </w:tc>
      </w:tr>
    </w:tbl>
    <w:p w:rsidR="00796D83" w:rsidRDefault="00796D83" w:rsidP="00796D83">
      <w:pPr>
        <w:shd w:val="clear" w:color="auto" w:fill="FFFFFF"/>
        <w:spacing w:after="120" w:line="240" w:lineRule="auto"/>
        <w:ind w:firstLine="720"/>
        <w:jc w:val="both"/>
        <w:rPr>
          <w:rFonts w:ascii="Arial" w:eastAsia="Times New Roman" w:hAnsi="Arial" w:cs="Arial"/>
          <w:b/>
          <w:bCs/>
          <w:sz w:val="20"/>
          <w:szCs w:val="20"/>
          <w:lang w:eastAsia="en-SG"/>
        </w:rPr>
        <w:sectPr w:rsidR="00796D83" w:rsidSect="00796D83">
          <w:pgSz w:w="11906" w:h="16838" w:code="9"/>
          <w:pgMar w:top="1440" w:right="1440" w:bottom="1440" w:left="1440" w:header="708" w:footer="708" w:gutter="0"/>
          <w:cols w:space="708"/>
          <w:docGrid w:linePitch="360"/>
        </w:sectPr>
      </w:pPr>
    </w:p>
    <w:p w:rsidR="00796D83" w:rsidRPr="00796D83" w:rsidRDefault="00796D83" w:rsidP="00796D83">
      <w:pPr>
        <w:shd w:val="clear" w:color="auto" w:fill="FFFFFF"/>
        <w:spacing w:after="0" w:line="240" w:lineRule="auto"/>
        <w:jc w:val="center"/>
        <w:rPr>
          <w:rFonts w:ascii="Arial" w:eastAsia="Times New Roman" w:hAnsi="Arial" w:cs="Arial"/>
          <w:sz w:val="20"/>
          <w:szCs w:val="20"/>
          <w:lang w:eastAsia="en-SG"/>
        </w:rPr>
      </w:pPr>
      <w:r>
        <w:rPr>
          <w:rFonts w:ascii="Arial" w:eastAsia="Times New Roman" w:hAnsi="Arial" w:cs="Arial"/>
          <w:b/>
          <w:bCs/>
          <w:sz w:val="20"/>
          <w:szCs w:val="20"/>
          <w:lang w:eastAsia="en-SG"/>
        </w:rPr>
        <w:lastRenderedPageBreak/>
        <w:t>Phụ lục I</w:t>
      </w:r>
    </w:p>
    <w:p w:rsidR="00796D83" w:rsidRDefault="00796D83" w:rsidP="00796D83">
      <w:pPr>
        <w:shd w:val="clear" w:color="auto" w:fill="FFFFFF"/>
        <w:spacing w:after="0" w:line="240" w:lineRule="auto"/>
        <w:jc w:val="center"/>
        <w:rPr>
          <w:rFonts w:ascii="Arial" w:eastAsia="Times New Roman" w:hAnsi="Arial" w:cs="Arial"/>
          <w:b/>
          <w:sz w:val="20"/>
          <w:szCs w:val="20"/>
          <w:lang w:eastAsia="en-SG"/>
        </w:rPr>
      </w:pPr>
      <w:r w:rsidRPr="00796D83">
        <w:rPr>
          <w:rFonts w:ascii="Arial" w:eastAsia="Times New Roman" w:hAnsi="Arial" w:cs="Arial"/>
          <w:b/>
          <w:sz w:val="20"/>
          <w:szCs w:val="20"/>
          <w:lang w:eastAsia="en-SG"/>
        </w:rPr>
        <w:t xml:space="preserve">Phạm vi hoạt động khám bệnh, chữa bệnh của nhân viên y tế làm việc </w:t>
      </w:r>
    </w:p>
    <w:p w:rsidR="00796D83" w:rsidRDefault="00796D83" w:rsidP="00796D83">
      <w:pPr>
        <w:shd w:val="clear" w:color="auto" w:fill="FFFFFF"/>
        <w:spacing w:after="0" w:line="240" w:lineRule="auto"/>
        <w:jc w:val="center"/>
        <w:rPr>
          <w:rFonts w:ascii="Arial" w:eastAsia="Times New Roman" w:hAnsi="Arial" w:cs="Arial"/>
          <w:i/>
          <w:iCs/>
          <w:sz w:val="20"/>
          <w:szCs w:val="20"/>
          <w:lang w:eastAsia="en-SG"/>
        </w:rPr>
      </w:pPr>
      <w:r w:rsidRPr="00796D83">
        <w:rPr>
          <w:rFonts w:ascii="Arial" w:eastAsia="Times New Roman" w:hAnsi="Arial" w:cs="Arial"/>
          <w:b/>
          <w:sz w:val="20"/>
          <w:szCs w:val="20"/>
          <w:lang w:eastAsia="en-SG"/>
        </w:rPr>
        <w:t>tại cơ quan, đơn vị, tổ chức, cơ sở giáo dục</w:t>
      </w:r>
      <w:r w:rsidRPr="00796D83">
        <w:rPr>
          <w:rFonts w:ascii="Arial" w:eastAsia="Times New Roman" w:hAnsi="Arial" w:cs="Arial"/>
          <w:b/>
          <w:sz w:val="20"/>
          <w:szCs w:val="20"/>
          <w:lang w:eastAsia="en-SG"/>
        </w:rPr>
        <w:br/>
      </w:r>
      <w:r w:rsidRPr="00796D83">
        <w:rPr>
          <w:rFonts w:ascii="Arial" w:eastAsia="Times New Roman" w:hAnsi="Arial" w:cs="Arial"/>
          <w:i/>
          <w:iCs/>
          <w:sz w:val="20"/>
          <w:szCs w:val="20"/>
          <w:lang w:eastAsia="en-SG"/>
        </w:rPr>
        <w:t xml:space="preserve">(Ban hành kèm theo Thông tư số 28/2023/TT-BYT ngày 29 tháng 12 năm 2023 </w:t>
      </w:r>
    </w:p>
    <w:p w:rsidR="00796D83" w:rsidRDefault="00796D83" w:rsidP="00796D83">
      <w:pPr>
        <w:shd w:val="clear" w:color="auto" w:fill="FFFFFF"/>
        <w:spacing w:after="0" w:line="240" w:lineRule="auto"/>
        <w:jc w:val="center"/>
        <w:rPr>
          <w:rFonts w:ascii="Arial" w:eastAsia="Times New Roman" w:hAnsi="Arial" w:cs="Arial"/>
          <w:i/>
          <w:iCs/>
          <w:sz w:val="20"/>
          <w:szCs w:val="20"/>
          <w:lang w:eastAsia="en-SG"/>
        </w:rPr>
      </w:pPr>
      <w:r w:rsidRPr="00796D83">
        <w:rPr>
          <w:rFonts w:ascii="Arial" w:eastAsia="Times New Roman" w:hAnsi="Arial" w:cs="Arial"/>
          <w:i/>
          <w:iCs/>
          <w:sz w:val="20"/>
          <w:szCs w:val="20"/>
          <w:lang w:eastAsia="en-SG"/>
        </w:rPr>
        <w:t>của Bộ trưởng Bộ Y tế)</w:t>
      </w:r>
    </w:p>
    <w:p w:rsidR="00796D83" w:rsidRDefault="00796D83" w:rsidP="00796D83">
      <w:pPr>
        <w:shd w:val="clear" w:color="auto" w:fill="FFFFFF"/>
        <w:spacing w:after="0" w:line="240" w:lineRule="auto"/>
        <w:jc w:val="center"/>
        <w:rPr>
          <w:rFonts w:ascii="Arial" w:eastAsia="Times New Roman" w:hAnsi="Arial" w:cs="Arial"/>
          <w:bCs/>
          <w:sz w:val="20"/>
          <w:szCs w:val="20"/>
          <w:vertAlign w:val="superscript"/>
          <w:lang w:eastAsia="en-SG"/>
        </w:rPr>
      </w:pPr>
      <w:r w:rsidRPr="00796D83">
        <w:rPr>
          <w:rFonts w:ascii="Arial" w:eastAsia="Times New Roman" w:hAnsi="Arial" w:cs="Arial"/>
          <w:bCs/>
          <w:sz w:val="20"/>
          <w:szCs w:val="20"/>
          <w:vertAlign w:val="superscript"/>
          <w:lang w:eastAsia="en-SG"/>
        </w:rPr>
        <w:t>____________</w:t>
      </w:r>
      <w:r>
        <w:rPr>
          <w:rFonts w:ascii="Arial" w:eastAsia="Times New Roman" w:hAnsi="Arial" w:cs="Arial"/>
          <w:bCs/>
          <w:sz w:val="20"/>
          <w:szCs w:val="20"/>
          <w:vertAlign w:val="superscript"/>
          <w:lang w:eastAsia="en-SG"/>
        </w:rPr>
        <w:t>______________</w:t>
      </w:r>
    </w:p>
    <w:p w:rsidR="00796D83" w:rsidRPr="00796D83" w:rsidRDefault="00796D83" w:rsidP="00796D83">
      <w:pPr>
        <w:shd w:val="clear" w:color="auto" w:fill="FFFFFF"/>
        <w:spacing w:after="0" w:line="240" w:lineRule="auto"/>
        <w:jc w:val="center"/>
        <w:rPr>
          <w:rFonts w:ascii="Arial" w:eastAsia="Times New Roman" w:hAnsi="Arial" w:cs="Arial"/>
          <w:sz w:val="20"/>
          <w:szCs w:val="20"/>
          <w:lang w:eastAsia="en-SG"/>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3"/>
        <w:gridCol w:w="3957"/>
        <w:gridCol w:w="1564"/>
        <w:gridCol w:w="1471"/>
        <w:gridCol w:w="1471"/>
      </w:tblGrid>
      <w:tr w:rsidR="00796D83" w:rsidRPr="00796D83" w:rsidTr="00796D83">
        <w:trPr>
          <w:tblCellSpacing w:w="0" w:type="dxa"/>
        </w:trPr>
        <w:tc>
          <w:tcPr>
            <w:tcW w:w="306" w:type="pct"/>
            <w:vMerge w:val="restar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TT</w:t>
            </w:r>
          </w:p>
        </w:tc>
        <w:tc>
          <w:tcPr>
            <w:tcW w:w="2194" w:type="pct"/>
            <w:vMerge w:val="restar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Danh mục hoạt động khám bệnh, chữa bệnh</w:t>
            </w:r>
          </w:p>
        </w:tc>
        <w:tc>
          <w:tcPr>
            <w:tcW w:w="867" w:type="pct"/>
            <w:vMerge w:val="restar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Nhân viên y tế tại cơ quan, đơn vị, tổ chức quy định tại khoản 2 Điều 2 Thông tư này</w:t>
            </w:r>
          </w:p>
        </w:tc>
        <w:tc>
          <w:tcPr>
            <w:tcW w:w="1632" w:type="pct"/>
            <w:gridSpan w:val="2"/>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Nhân viên y tế tại cơ sở giáo dục</w:t>
            </w:r>
          </w:p>
        </w:tc>
      </w:tr>
      <w:tr w:rsidR="00796D83" w:rsidRPr="00796D83" w:rsidTr="00796D83">
        <w:trPr>
          <w:tblCellSpacing w:w="0" w:type="dxa"/>
        </w:trPr>
        <w:tc>
          <w:tcPr>
            <w:tcW w:w="306" w:type="pct"/>
            <w:vMerge/>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c>
          <w:tcPr>
            <w:tcW w:w="2194" w:type="pct"/>
            <w:vMerge/>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c>
          <w:tcPr>
            <w:tcW w:w="867" w:type="pct"/>
            <w:vMerge/>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Quy định tại điểm a khoản 3 Điều 2 Thông tư này</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Quy định tại điểm b khoản 3 Điều 2 Thông tư này</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Quan sát, đánh giá, nhận định tình trạng toàn thân người bệnh</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Đánh giá tình trạng dinh dưỡng, đo chiều cao, cân nặng</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Đo, đếm các dấu hiệu sinh tồn của người bệnh: mạch, nhiệt độ, huyết áp</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4</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phòng, chống tật khúc xạ</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5</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phòng, chống thừa cân, béo phì, suy dinh dưỡng</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6</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phòng, chống gù vẹo cột sống</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7</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phòng, chống bệnh răng miệng</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8</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tâm lí</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9</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chế độ dinh dưỡng và tập luyện</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10</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phòng, chống và xử trí ban đầu bệnh sởi</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11</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phòng, chống và xử trí ban đầu bệnh quai bị</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12</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phòng, chống và xử trí ban đầu bệnh tay chân miệng</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13</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chăm sóc ban đầu người bị tiêu chảy</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14</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chăm sóc sức khỏe phụ nữ mang thai</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15</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chăm sóc người viêm đường hô hấp trên</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16</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chăm sóc bệnh nhân cúm</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17</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chăm sóc, bệnh nhân đau mắt đỏ</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18</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chăm sóc ban đầu bệnh nhân sốt xuất huyết</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19</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về chăm sóc nâng cao sức khỏe</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20</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về phòng, chống dịch bệnh</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21</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Tư vấn phòng, chống bệnh liên quan đến nghề nghiệp</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22</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Sơ cứu ban đầu các dấu hiệu nguy hiểm về hô hấp, tuần hoàn, tim mạch</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23</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Sơ cứu, băng các vết thương phần mềm chảy máu</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24</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Sơ cứu và cố định tạm thời gãy xương các loại, bong gân, sai khớp</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25</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Sơ cấp cứu và xử trí ban đầu khi bị bỏng</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26</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Sơ cứu ngộ độc (thực phẩm, hơi khí độc)</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27</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Sơ cứu say nắng, say nóng</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28</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Sơ cấp cứu đuối nước</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29</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Sơ cứu dị vật đường thở</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lastRenderedPageBreak/>
              <w:t>30</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Sơ cứu điện giật, sét đánh</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31</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Sơ cấp cứu tai nạn khác: ngã, vùi lấp, chấn thương mắt</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32</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Xử trí rắn cắn, băng ép bất động sơ cứu rắn cắn</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33</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Xử trí ban đầu khi bị động vật, côn trùng cắn, đốt</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34</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Xử trí tai nạn hàng loạt</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35</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Xử trí ban đầu viêm da dị ứng, nổi mề đay, phát ban</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36</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Xử trí ban đầu đau bụng</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37</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Kỹ thuật di chuyển bệnh nhân an toàn</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38</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Cạo gió</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39</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Thay băng, cắt chỉ</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40</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Xoa bóp bấm huyệt bằng tay</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41</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Xoa bóp bấm huyệt điều trị đau đầu cơ năng</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42</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Xoa bóp bấm huyệt điều trị đau thắt lưng</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43</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Xoa bóp bấm huyệt điều trị đau thần kinh hông to</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bookmarkStart w:id="5" w:name="_GoBack"/>
            <w:bookmarkEnd w:id="5"/>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44</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Xoa bóp bấm huyệt điều trị cảm cúm</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blCellSpacing w:w="0" w:type="dxa"/>
        </w:trPr>
        <w:tc>
          <w:tcPr>
            <w:tcW w:w="30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45</w:t>
            </w:r>
          </w:p>
        </w:tc>
        <w:tc>
          <w:tcPr>
            <w:tcW w:w="2194"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Xoa bóp bấm huyệt điều trị đau vai gáy</w:t>
            </w:r>
          </w:p>
        </w:tc>
        <w:tc>
          <w:tcPr>
            <w:tcW w:w="867"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c>
          <w:tcPr>
            <w:tcW w:w="81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bl>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i/>
          <w:iCs/>
          <w:sz w:val="20"/>
          <w:szCs w:val="20"/>
          <w:lang w:eastAsia="en-SG"/>
        </w:rPr>
        <w:t>Ghi chú:</w:t>
      </w:r>
    </w:p>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i/>
          <w:iCs/>
          <w:sz w:val="20"/>
          <w:szCs w:val="20"/>
          <w:lang w:eastAsia="en-SG"/>
        </w:rPr>
        <w:t>Dấu “x”: Danh mục hoạt động khám bệnh, chữa bệnh được thực hiện</w:t>
      </w:r>
    </w:p>
    <w:p w:rsidR="00796D83" w:rsidRDefault="00796D83" w:rsidP="00796D83">
      <w:pPr>
        <w:shd w:val="clear" w:color="auto" w:fill="FFFFFF"/>
        <w:spacing w:after="120" w:line="240" w:lineRule="auto"/>
        <w:ind w:firstLine="720"/>
        <w:jc w:val="both"/>
        <w:rPr>
          <w:rFonts w:ascii="Arial" w:eastAsia="Times New Roman" w:hAnsi="Arial" w:cs="Arial"/>
          <w:b/>
          <w:bCs/>
          <w:sz w:val="20"/>
          <w:szCs w:val="20"/>
          <w:lang w:eastAsia="en-SG"/>
        </w:rPr>
        <w:sectPr w:rsidR="00796D83" w:rsidSect="00796D83">
          <w:pgSz w:w="11906" w:h="16838" w:code="9"/>
          <w:pgMar w:top="1440" w:right="1440" w:bottom="1440" w:left="1440" w:header="708" w:footer="708" w:gutter="0"/>
          <w:cols w:space="708"/>
          <w:docGrid w:linePitch="360"/>
        </w:sectPr>
      </w:pPr>
    </w:p>
    <w:p w:rsidR="00796D83" w:rsidRPr="00796D83" w:rsidRDefault="00796D83" w:rsidP="00796D83">
      <w:pPr>
        <w:shd w:val="clear" w:color="auto" w:fill="FFFFFF"/>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lastRenderedPageBreak/>
        <w:t>Phụ lục II</w:t>
      </w:r>
    </w:p>
    <w:p w:rsidR="00796D83" w:rsidRDefault="00796D83" w:rsidP="00796D83">
      <w:pPr>
        <w:shd w:val="clear" w:color="auto" w:fill="FFFFFF"/>
        <w:spacing w:after="0" w:line="240" w:lineRule="auto"/>
        <w:jc w:val="center"/>
        <w:rPr>
          <w:rFonts w:ascii="Arial" w:eastAsia="Times New Roman" w:hAnsi="Arial" w:cs="Arial"/>
          <w:b/>
          <w:sz w:val="20"/>
          <w:szCs w:val="20"/>
          <w:lang w:eastAsia="en-SG"/>
        </w:rPr>
      </w:pPr>
      <w:r w:rsidRPr="00796D83">
        <w:rPr>
          <w:rFonts w:ascii="Arial" w:eastAsia="Times New Roman" w:hAnsi="Arial" w:cs="Arial"/>
          <w:b/>
          <w:sz w:val="20"/>
          <w:szCs w:val="20"/>
          <w:lang w:eastAsia="en-SG"/>
        </w:rPr>
        <w:t xml:space="preserve">Danh mục các bệnh được khám phát hiện sớm, xử trí ban đầu và tư vấn </w:t>
      </w:r>
    </w:p>
    <w:p w:rsidR="00796D83" w:rsidRDefault="00796D83" w:rsidP="00796D83">
      <w:pPr>
        <w:shd w:val="clear" w:color="auto" w:fill="FFFFFF"/>
        <w:spacing w:after="0" w:line="240" w:lineRule="auto"/>
        <w:jc w:val="center"/>
        <w:rPr>
          <w:rFonts w:ascii="Arial" w:eastAsia="Times New Roman" w:hAnsi="Arial" w:cs="Arial"/>
          <w:i/>
          <w:iCs/>
          <w:sz w:val="20"/>
          <w:szCs w:val="20"/>
          <w:lang w:eastAsia="en-SG"/>
        </w:rPr>
      </w:pPr>
      <w:r w:rsidRPr="00796D83">
        <w:rPr>
          <w:rFonts w:ascii="Arial" w:eastAsia="Times New Roman" w:hAnsi="Arial" w:cs="Arial"/>
          <w:b/>
          <w:sz w:val="20"/>
          <w:szCs w:val="20"/>
          <w:lang w:eastAsia="en-SG"/>
        </w:rPr>
        <w:t>tại y tế cơ quan, đơn vị, tổ chức</w:t>
      </w:r>
      <w:r w:rsidRPr="00796D83">
        <w:rPr>
          <w:rFonts w:ascii="Arial" w:eastAsia="Times New Roman" w:hAnsi="Arial" w:cs="Arial"/>
          <w:b/>
          <w:sz w:val="20"/>
          <w:szCs w:val="20"/>
          <w:lang w:eastAsia="en-SG"/>
        </w:rPr>
        <w:br/>
      </w:r>
      <w:r w:rsidRPr="00796D83">
        <w:rPr>
          <w:rFonts w:ascii="Arial" w:eastAsia="Times New Roman" w:hAnsi="Arial" w:cs="Arial"/>
          <w:i/>
          <w:iCs/>
          <w:sz w:val="20"/>
          <w:szCs w:val="20"/>
          <w:lang w:eastAsia="en-SG"/>
        </w:rPr>
        <w:t xml:space="preserve">(Ban hành kèm theo Thông tư số 28/2023/TT-BYT ngày 29 tháng 12 năm 2023 </w:t>
      </w:r>
    </w:p>
    <w:p w:rsidR="00796D83" w:rsidRDefault="00796D83" w:rsidP="00796D83">
      <w:pPr>
        <w:shd w:val="clear" w:color="auto" w:fill="FFFFFF"/>
        <w:spacing w:after="0" w:line="240" w:lineRule="auto"/>
        <w:jc w:val="center"/>
        <w:rPr>
          <w:rFonts w:ascii="Arial" w:eastAsia="Times New Roman" w:hAnsi="Arial" w:cs="Arial"/>
          <w:i/>
          <w:iCs/>
          <w:sz w:val="20"/>
          <w:szCs w:val="20"/>
          <w:lang w:eastAsia="en-SG"/>
        </w:rPr>
      </w:pPr>
      <w:r w:rsidRPr="00796D83">
        <w:rPr>
          <w:rFonts w:ascii="Arial" w:eastAsia="Times New Roman" w:hAnsi="Arial" w:cs="Arial"/>
          <w:i/>
          <w:iCs/>
          <w:sz w:val="20"/>
          <w:szCs w:val="20"/>
          <w:lang w:eastAsia="en-SG"/>
        </w:rPr>
        <w:t>của Bộ trưởng Bộ Y tế)</w:t>
      </w:r>
    </w:p>
    <w:p w:rsidR="00796D83" w:rsidRDefault="00796D83" w:rsidP="00796D83">
      <w:pPr>
        <w:shd w:val="clear" w:color="auto" w:fill="FFFFFF"/>
        <w:spacing w:after="0" w:line="240" w:lineRule="auto"/>
        <w:jc w:val="center"/>
        <w:rPr>
          <w:rFonts w:ascii="Arial" w:eastAsia="Times New Roman" w:hAnsi="Arial" w:cs="Arial"/>
          <w:bCs/>
          <w:sz w:val="20"/>
          <w:szCs w:val="20"/>
          <w:vertAlign w:val="superscript"/>
          <w:lang w:eastAsia="en-SG"/>
        </w:rPr>
      </w:pPr>
      <w:r w:rsidRPr="00796D83">
        <w:rPr>
          <w:rFonts w:ascii="Arial" w:eastAsia="Times New Roman" w:hAnsi="Arial" w:cs="Arial"/>
          <w:bCs/>
          <w:sz w:val="20"/>
          <w:szCs w:val="20"/>
          <w:vertAlign w:val="superscript"/>
          <w:lang w:eastAsia="en-SG"/>
        </w:rPr>
        <w:t>____________</w:t>
      </w:r>
      <w:r>
        <w:rPr>
          <w:rFonts w:ascii="Arial" w:eastAsia="Times New Roman" w:hAnsi="Arial" w:cs="Arial"/>
          <w:bCs/>
          <w:sz w:val="20"/>
          <w:szCs w:val="20"/>
          <w:vertAlign w:val="superscript"/>
          <w:lang w:eastAsia="en-SG"/>
        </w:rPr>
        <w:t>_____</w:t>
      </w:r>
    </w:p>
    <w:p w:rsidR="00796D83" w:rsidRPr="00796D83" w:rsidRDefault="00796D83" w:rsidP="00796D83">
      <w:pPr>
        <w:shd w:val="clear" w:color="auto" w:fill="FFFFFF"/>
        <w:spacing w:after="0" w:line="240" w:lineRule="auto"/>
        <w:jc w:val="center"/>
        <w:rPr>
          <w:rFonts w:ascii="Arial" w:eastAsia="Times New Roman" w:hAnsi="Arial" w:cs="Arial"/>
          <w:sz w:val="20"/>
          <w:szCs w:val="20"/>
          <w:lang w:eastAsia="en-SG"/>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38"/>
        <w:gridCol w:w="8378"/>
      </w:tblGrid>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TT</w:t>
            </w:r>
          </w:p>
        </w:tc>
        <w:tc>
          <w:tcPr>
            <w:tcW w:w="464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Tên bệnh</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Bệnh lý tăng huyết áp (I10-I15)</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Đái tháo đường (E10-E14)</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kết mạc (H10)</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4.</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mũi dị ứng (J30.1 - J30.4)</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5.</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mũi họng cấp (cảm thường) (J00)</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6.</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xoang cấp (J01)</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7.</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họng cấp (J02)</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8.</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Amidan cấp (J03)</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9.</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thanh quản và khí quản cấp (J04)</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10.</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Nhiễm trùng đường hô hấp trên cấp (J06)</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11.</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Nhiễm trùng đường hô hấp dưới cấp (J20-J22)</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12.</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da cơ địa (L20)</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13.</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da tiếp xúc dị ứng (L23)</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14.</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da tiếp xúc kích ứng (L24)</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15.</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ruột thừa cấp (K35)</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16.</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Bệnh động kinh (G40)</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17.</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Tiêu chảy cấp tính</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18.</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Một số bệnh truyền nhiễm thường gặp:</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tả (A00)</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lỵ trực khuẩn (A03)</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lỵ Amip (A06)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thương hàn và phó thương hàn (A01)</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Nhiễm độc thức ăn (A05)</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viêm gan vi rút (B15, B16)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cúm và viêm phổi (J09-J18)</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lao (A15-A19)</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sốt xuất huyết Dengue (A97)</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sốt rét (B50-B54)</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sốt phát ban do Rickettsia (A75)</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dại (A82)</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Rubella (B06)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viêm não (G05)</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viêm màng não (G00)</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lastRenderedPageBreak/>
              <w:t>- Bệnh viêm màng não do não mô cầu (A39.0)</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sởi (B05)</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Quai bị (B26)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thủy đậu (B01)</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đậu mùa (B03)</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bạch hầu (A36)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ho gà (A37)</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uốn ván (A35)</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do Leptospira (A27)</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Tay Chân Miệng</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Hội chứng suy hô hấp cấp tính nặng (SARS) (U04)</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COVID-19 (U07.1, U07.2)</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do nhiễm vi rút suy giảm miễn dịch ở người (HIV) (B20-B24)</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lastRenderedPageBreak/>
              <w:t>19.</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Bệnh nghề nghiệp nằm trong danh mục các bệnh nghề nghiệp được hưởng bảo hiểm xã hội </w:t>
            </w:r>
            <w:r w:rsidRPr="00796D83">
              <w:rPr>
                <w:rFonts w:ascii="Arial" w:eastAsia="Times New Roman" w:hAnsi="Arial" w:cs="Arial"/>
                <w:i/>
                <w:iCs/>
                <w:sz w:val="20"/>
                <w:szCs w:val="20"/>
                <w:lang w:eastAsia="en-SG"/>
              </w:rPr>
              <w:t>(35 bệnh nghề nghiệp theo quy định tại Thông tư số 15/2016/TT-BYT ngày 15 tháng 5 năm 2016 của Bộ trưởng Bộ Y tế quy định về bệnh nghề nghiệp được hưởng bảo hiểm xã hội và Thông tư số 02/2023/TT-BYT ngày 09 tháng 02 năm 2023 của Bộ trưởng Bộ Y tế sửa đổi, bổ sung một số điều của Thông tư số 15/2016/TT-BYT ngày 15 tháng 5 năm 2016 của Bộ trưởng Bộ Y tế quy định về bệnh nghề nghiệp được hưởng bảo hiểm xã hội).</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20.</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Các bệnh liên quan đến nghề nghiệp của người lao động: Tăng huyết áp, giãn tĩnh mạch chi dưới, rối loạn cơ xương khớp, rối loạn tâm lý - hành vi, bệnh ngoài da, bệnh do tác nhân sinh học.</w:t>
            </w:r>
          </w:p>
        </w:tc>
      </w:tr>
    </w:tbl>
    <w:p w:rsidR="00796D83" w:rsidRDefault="00796D83" w:rsidP="00796D83">
      <w:pPr>
        <w:shd w:val="clear" w:color="auto" w:fill="FFFFFF"/>
        <w:spacing w:after="120" w:line="240" w:lineRule="auto"/>
        <w:ind w:firstLine="720"/>
        <w:jc w:val="both"/>
        <w:rPr>
          <w:rFonts w:ascii="Arial" w:eastAsia="Times New Roman" w:hAnsi="Arial" w:cs="Arial"/>
          <w:b/>
          <w:bCs/>
          <w:sz w:val="20"/>
          <w:szCs w:val="20"/>
          <w:lang w:eastAsia="en-SG"/>
        </w:rPr>
        <w:sectPr w:rsidR="00796D83" w:rsidSect="00796D83">
          <w:pgSz w:w="11906" w:h="16838" w:code="9"/>
          <w:pgMar w:top="1440" w:right="1440" w:bottom="1440" w:left="1440" w:header="708" w:footer="708" w:gutter="0"/>
          <w:cols w:space="708"/>
          <w:docGrid w:linePitch="360"/>
        </w:sectPr>
      </w:pPr>
    </w:p>
    <w:p w:rsidR="00796D83" w:rsidRPr="00796D83" w:rsidRDefault="00796D83" w:rsidP="00796D83">
      <w:pPr>
        <w:shd w:val="clear" w:color="auto" w:fill="FFFFFF"/>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lastRenderedPageBreak/>
        <w:t>Phụ lục III</w:t>
      </w:r>
    </w:p>
    <w:p w:rsidR="00796D83" w:rsidRDefault="00796D83" w:rsidP="00796D83">
      <w:pPr>
        <w:shd w:val="clear" w:color="auto" w:fill="FFFFFF"/>
        <w:spacing w:after="0" w:line="240" w:lineRule="auto"/>
        <w:jc w:val="center"/>
        <w:rPr>
          <w:rFonts w:ascii="Arial" w:eastAsia="Times New Roman" w:hAnsi="Arial" w:cs="Arial"/>
          <w:b/>
          <w:sz w:val="20"/>
          <w:szCs w:val="20"/>
          <w:lang w:eastAsia="en-SG"/>
        </w:rPr>
      </w:pPr>
      <w:r w:rsidRPr="00796D83">
        <w:rPr>
          <w:rFonts w:ascii="Arial" w:eastAsia="Times New Roman" w:hAnsi="Arial" w:cs="Arial"/>
          <w:b/>
          <w:sz w:val="20"/>
          <w:szCs w:val="20"/>
          <w:lang w:eastAsia="en-SG"/>
        </w:rPr>
        <w:t xml:space="preserve">Danh mục các bệnh được khám phát hiện sớm, xử trí ban đầu và tư vấn </w:t>
      </w:r>
    </w:p>
    <w:p w:rsidR="00796D83" w:rsidRDefault="00796D83" w:rsidP="00796D83">
      <w:pPr>
        <w:shd w:val="clear" w:color="auto" w:fill="FFFFFF"/>
        <w:spacing w:after="0" w:line="240" w:lineRule="auto"/>
        <w:jc w:val="center"/>
        <w:rPr>
          <w:rFonts w:ascii="Arial" w:eastAsia="Times New Roman" w:hAnsi="Arial" w:cs="Arial"/>
          <w:i/>
          <w:iCs/>
          <w:sz w:val="20"/>
          <w:szCs w:val="20"/>
          <w:lang w:eastAsia="en-SG"/>
        </w:rPr>
      </w:pPr>
      <w:r w:rsidRPr="00796D83">
        <w:rPr>
          <w:rFonts w:ascii="Arial" w:eastAsia="Times New Roman" w:hAnsi="Arial" w:cs="Arial"/>
          <w:b/>
          <w:sz w:val="20"/>
          <w:szCs w:val="20"/>
          <w:lang w:eastAsia="en-SG"/>
        </w:rPr>
        <w:t>tại y tế của cơ sở giáo dục</w:t>
      </w:r>
      <w:r w:rsidRPr="00796D83">
        <w:rPr>
          <w:rFonts w:ascii="Arial" w:eastAsia="Times New Roman" w:hAnsi="Arial" w:cs="Arial"/>
          <w:b/>
          <w:sz w:val="20"/>
          <w:szCs w:val="20"/>
          <w:lang w:eastAsia="en-SG"/>
        </w:rPr>
        <w:br/>
      </w:r>
      <w:r w:rsidRPr="00796D83">
        <w:rPr>
          <w:rFonts w:ascii="Arial" w:eastAsia="Times New Roman" w:hAnsi="Arial" w:cs="Arial"/>
          <w:i/>
          <w:iCs/>
          <w:sz w:val="20"/>
          <w:szCs w:val="20"/>
          <w:lang w:eastAsia="en-SG"/>
        </w:rPr>
        <w:t xml:space="preserve">(Ban hành kèm theo Thông tư số 28/2023/TT-BYT ngày 29 tháng 12 năm 2023 </w:t>
      </w:r>
    </w:p>
    <w:p w:rsidR="00796D83" w:rsidRDefault="00796D83" w:rsidP="00796D83">
      <w:pPr>
        <w:shd w:val="clear" w:color="auto" w:fill="FFFFFF"/>
        <w:spacing w:after="0" w:line="240" w:lineRule="auto"/>
        <w:jc w:val="center"/>
        <w:rPr>
          <w:rFonts w:ascii="Arial" w:eastAsia="Times New Roman" w:hAnsi="Arial" w:cs="Arial"/>
          <w:i/>
          <w:iCs/>
          <w:sz w:val="20"/>
          <w:szCs w:val="20"/>
          <w:lang w:eastAsia="en-SG"/>
        </w:rPr>
      </w:pPr>
      <w:r w:rsidRPr="00796D83">
        <w:rPr>
          <w:rFonts w:ascii="Arial" w:eastAsia="Times New Roman" w:hAnsi="Arial" w:cs="Arial"/>
          <w:i/>
          <w:iCs/>
          <w:sz w:val="20"/>
          <w:szCs w:val="20"/>
          <w:lang w:eastAsia="en-SG"/>
        </w:rPr>
        <w:t>của Bộ trưởng Bộ Y tế)</w:t>
      </w:r>
    </w:p>
    <w:p w:rsidR="00796D83" w:rsidRDefault="00796D83" w:rsidP="00796D83">
      <w:pPr>
        <w:shd w:val="clear" w:color="auto" w:fill="FFFFFF"/>
        <w:spacing w:after="0" w:line="240" w:lineRule="auto"/>
        <w:jc w:val="center"/>
        <w:rPr>
          <w:rFonts w:ascii="Arial" w:eastAsia="Times New Roman" w:hAnsi="Arial" w:cs="Arial"/>
          <w:bCs/>
          <w:sz w:val="20"/>
          <w:szCs w:val="20"/>
          <w:vertAlign w:val="superscript"/>
          <w:lang w:eastAsia="en-SG"/>
        </w:rPr>
      </w:pPr>
      <w:r w:rsidRPr="00796D83">
        <w:rPr>
          <w:rFonts w:ascii="Arial" w:eastAsia="Times New Roman" w:hAnsi="Arial" w:cs="Arial"/>
          <w:bCs/>
          <w:sz w:val="20"/>
          <w:szCs w:val="20"/>
          <w:vertAlign w:val="superscript"/>
          <w:lang w:eastAsia="en-SG"/>
        </w:rPr>
        <w:t>____________</w:t>
      </w:r>
    </w:p>
    <w:p w:rsidR="00796D83" w:rsidRPr="00796D83" w:rsidRDefault="00796D83" w:rsidP="00796D83">
      <w:pPr>
        <w:shd w:val="clear" w:color="auto" w:fill="FFFFFF"/>
        <w:spacing w:after="0" w:line="240" w:lineRule="auto"/>
        <w:jc w:val="center"/>
        <w:rPr>
          <w:rFonts w:ascii="Arial" w:eastAsia="Times New Roman" w:hAnsi="Arial" w:cs="Arial"/>
          <w:sz w:val="20"/>
          <w:szCs w:val="20"/>
          <w:lang w:eastAsia="en-SG"/>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38"/>
        <w:gridCol w:w="8378"/>
      </w:tblGrid>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TT</w:t>
            </w:r>
          </w:p>
        </w:tc>
        <w:tc>
          <w:tcPr>
            <w:tcW w:w="464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Tên bệnh</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Amidan cấp (J03)</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kết mạc (H10)</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mũi dị ứng (J30.1 - J30.4)</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4.</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Viêm da tiếp xúc dị ứng (L23)</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5.</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Tiêu chảy cấp tính</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6.</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Bệnh động kinh (G40)</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7.</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Các bệnh, tật phổ biến ở tuổi học đường</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khúc xạ và điều tiết (H52)</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Cong vẹo cột sống (M40-M41)</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suy dinh dưỡng (E40-E46)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khô mắt do thiếu Vitamin A</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bướu cổ do thiếu I-ốt (E01)</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thừa cân béo phì (E66)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răng-miệng</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Hen suyễn (J45)</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Rối loạn tâm thần và hành vi (F00-F99)</w:t>
            </w:r>
          </w:p>
        </w:tc>
      </w:tr>
      <w:tr w:rsidR="00796D83" w:rsidRPr="00796D83" w:rsidTr="00796D83">
        <w:trPr>
          <w:trHeight w:val="454"/>
          <w:tblCellSpacing w:w="0" w:type="dxa"/>
        </w:trPr>
        <w:tc>
          <w:tcPr>
            <w:tcW w:w="35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8.</w:t>
            </w:r>
          </w:p>
        </w:tc>
        <w:tc>
          <w:tcPr>
            <w:tcW w:w="4646"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Một số bệnh truyền nhiễm thường gặp:</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tả (A00)</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lỵ trực khuẩn (A03)</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lỵ Amip (A06)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thương hàn và phó thương hàn (A01)</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Nhiễm độc thức ăn (A05)</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nhiễm giun sán (B65-B83)</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Tay Chân Miệng</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cúm (J9-J11)</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nhiễm khuẩn hô hấp cấp tính ở trẻ em (J00-J06)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ho gà (A37)</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lao (A15-A19)</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bạch hầu (A36)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sởi (B05)</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quai bị (B26)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sốt xuất huyết Dengue (A97)</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viêm não (G05)</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thủy đậu (B01)</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viêm màng não (G00)</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Rubella (B06)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COVID-19 (U07.1, U07.2)</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sốt rét (B50-B54)</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mắt hột (A71)</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ghẻ (B86)</w:t>
            </w:r>
          </w:p>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 Bệnh chấy rận (B85)</w:t>
            </w:r>
          </w:p>
        </w:tc>
      </w:tr>
    </w:tbl>
    <w:p w:rsidR="00796D83" w:rsidRDefault="00796D83" w:rsidP="00796D83">
      <w:pPr>
        <w:shd w:val="clear" w:color="auto" w:fill="FFFFFF"/>
        <w:spacing w:after="120" w:line="240" w:lineRule="auto"/>
        <w:ind w:firstLine="720"/>
        <w:jc w:val="both"/>
        <w:rPr>
          <w:rFonts w:ascii="Arial" w:eastAsia="Times New Roman" w:hAnsi="Arial" w:cs="Arial"/>
          <w:b/>
          <w:bCs/>
          <w:sz w:val="20"/>
          <w:szCs w:val="20"/>
          <w:lang w:eastAsia="en-SG"/>
        </w:rPr>
        <w:sectPr w:rsidR="00796D83" w:rsidSect="00796D83">
          <w:pgSz w:w="11906" w:h="16838" w:code="9"/>
          <w:pgMar w:top="1440" w:right="1440" w:bottom="1440" w:left="1440" w:header="708" w:footer="708" w:gutter="0"/>
          <w:cols w:space="708"/>
          <w:docGrid w:linePitch="360"/>
        </w:sectPr>
      </w:pPr>
    </w:p>
    <w:p w:rsidR="00796D83" w:rsidRPr="00796D83" w:rsidRDefault="00796D83" w:rsidP="00796D83">
      <w:pPr>
        <w:shd w:val="clear" w:color="auto" w:fill="FFFFFF"/>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lastRenderedPageBreak/>
        <w:t>Phụ lục IV</w:t>
      </w:r>
    </w:p>
    <w:p w:rsidR="00796D83" w:rsidRDefault="00796D83" w:rsidP="00796D83">
      <w:pPr>
        <w:shd w:val="clear" w:color="auto" w:fill="FFFFFF"/>
        <w:spacing w:after="0" w:line="240" w:lineRule="auto"/>
        <w:jc w:val="center"/>
        <w:rPr>
          <w:rFonts w:ascii="Arial" w:eastAsia="Times New Roman" w:hAnsi="Arial" w:cs="Arial"/>
          <w:b/>
          <w:sz w:val="20"/>
          <w:szCs w:val="20"/>
          <w:lang w:eastAsia="en-SG"/>
        </w:rPr>
      </w:pPr>
      <w:r w:rsidRPr="00796D83">
        <w:rPr>
          <w:rFonts w:ascii="Arial" w:eastAsia="Times New Roman" w:hAnsi="Arial" w:cs="Arial"/>
          <w:b/>
          <w:sz w:val="20"/>
          <w:szCs w:val="20"/>
          <w:lang w:eastAsia="en-SG"/>
        </w:rPr>
        <w:t xml:space="preserve">Nội dung chuyên môn, nghiệp vụ của chương trình đào tạo </w:t>
      </w:r>
    </w:p>
    <w:p w:rsidR="00796D83" w:rsidRDefault="00796D83" w:rsidP="00796D83">
      <w:pPr>
        <w:shd w:val="clear" w:color="auto" w:fill="FFFFFF"/>
        <w:spacing w:after="0" w:line="240" w:lineRule="auto"/>
        <w:jc w:val="center"/>
        <w:rPr>
          <w:rFonts w:ascii="Arial" w:eastAsia="Times New Roman" w:hAnsi="Arial" w:cs="Arial"/>
          <w:i/>
          <w:iCs/>
          <w:sz w:val="20"/>
          <w:szCs w:val="20"/>
          <w:lang w:eastAsia="en-SG"/>
        </w:rPr>
      </w:pPr>
      <w:r w:rsidRPr="00796D83">
        <w:rPr>
          <w:rFonts w:ascii="Arial" w:eastAsia="Times New Roman" w:hAnsi="Arial" w:cs="Arial"/>
          <w:b/>
          <w:sz w:val="20"/>
          <w:szCs w:val="20"/>
          <w:lang w:eastAsia="en-SG"/>
        </w:rPr>
        <w:t>đối với nhân viên y tế tại cơ sở giáo dục</w:t>
      </w:r>
      <w:r w:rsidRPr="00796D83">
        <w:rPr>
          <w:rFonts w:ascii="Arial" w:eastAsia="Times New Roman" w:hAnsi="Arial" w:cs="Arial"/>
          <w:b/>
          <w:sz w:val="20"/>
          <w:szCs w:val="20"/>
          <w:lang w:eastAsia="en-SG"/>
        </w:rPr>
        <w:br/>
      </w:r>
      <w:r w:rsidRPr="00796D83">
        <w:rPr>
          <w:rFonts w:ascii="Arial" w:eastAsia="Times New Roman" w:hAnsi="Arial" w:cs="Arial"/>
          <w:i/>
          <w:iCs/>
          <w:sz w:val="20"/>
          <w:szCs w:val="20"/>
          <w:lang w:eastAsia="en-SG"/>
        </w:rPr>
        <w:t xml:space="preserve">(Ban hành kèm theo Thông tư số 28/2023/TT-BYT ngày 29 tháng 12 năm 2023 </w:t>
      </w:r>
    </w:p>
    <w:p w:rsidR="00796D83" w:rsidRDefault="00796D83" w:rsidP="00796D83">
      <w:pPr>
        <w:shd w:val="clear" w:color="auto" w:fill="FFFFFF"/>
        <w:spacing w:after="0" w:line="240" w:lineRule="auto"/>
        <w:jc w:val="center"/>
        <w:rPr>
          <w:rFonts w:ascii="Arial" w:eastAsia="Times New Roman" w:hAnsi="Arial" w:cs="Arial"/>
          <w:i/>
          <w:iCs/>
          <w:sz w:val="20"/>
          <w:szCs w:val="20"/>
          <w:lang w:eastAsia="en-SG"/>
        </w:rPr>
      </w:pPr>
      <w:r w:rsidRPr="00796D83">
        <w:rPr>
          <w:rFonts w:ascii="Arial" w:eastAsia="Times New Roman" w:hAnsi="Arial" w:cs="Arial"/>
          <w:i/>
          <w:iCs/>
          <w:sz w:val="20"/>
          <w:szCs w:val="20"/>
          <w:lang w:eastAsia="en-SG"/>
        </w:rPr>
        <w:t>của Bộ trưởng Bộ Y tế</w:t>
      </w:r>
    </w:p>
    <w:p w:rsidR="00796D83" w:rsidRDefault="00796D83" w:rsidP="00796D83">
      <w:pPr>
        <w:shd w:val="clear" w:color="auto" w:fill="FFFFFF"/>
        <w:spacing w:after="0" w:line="240" w:lineRule="auto"/>
        <w:jc w:val="center"/>
        <w:rPr>
          <w:rFonts w:ascii="Arial" w:eastAsia="Times New Roman" w:hAnsi="Arial" w:cs="Arial"/>
          <w:i/>
          <w:iCs/>
          <w:sz w:val="20"/>
          <w:szCs w:val="20"/>
          <w:lang w:eastAsia="en-SG"/>
        </w:rPr>
      </w:pPr>
      <w:r w:rsidRPr="00796D83">
        <w:rPr>
          <w:rFonts w:ascii="Arial" w:eastAsia="Times New Roman" w:hAnsi="Arial" w:cs="Arial"/>
          <w:bCs/>
          <w:sz w:val="20"/>
          <w:szCs w:val="20"/>
          <w:vertAlign w:val="superscript"/>
          <w:lang w:eastAsia="en-SG"/>
        </w:rPr>
        <w:t>____________</w:t>
      </w:r>
      <w:r>
        <w:rPr>
          <w:rFonts w:ascii="Arial" w:eastAsia="Times New Roman" w:hAnsi="Arial" w:cs="Arial"/>
          <w:bCs/>
          <w:sz w:val="20"/>
          <w:szCs w:val="20"/>
          <w:vertAlign w:val="superscript"/>
          <w:lang w:eastAsia="en-SG"/>
        </w:rPr>
        <w:t>________</w:t>
      </w:r>
    </w:p>
    <w:p w:rsidR="00796D83" w:rsidRPr="00796D83" w:rsidRDefault="00796D83" w:rsidP="00796D83">
      <w:pPr>
        <w:shd w:val="clear" w:color="auto" w:fill="FFFFFF"/>
        <w:spacing w:after="0" w:line="240" w:lineRule="auto"/>
        <w:jc w:val="center"/>
        <w:rPr>
          <w:rFonts w:ascii="Arial" w:eastAsia="Times New Roman" w:hAnsi="Arial" w:cs="Arial"/>
          <w:sz w:val="20"/>
          <w:szCs w:val="20"/>
          <w:lang w:eastAsia="en-SG"/>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7"/>
        <w:gridCol w:w="4275"/>
        <w:gridCol w:w="2045"/>
        <w:gridCol w:w="2139"/>
      </w:tblGrid>
      <w:tr w:rsidR="00796D83" w:rsidRPr="00796D83" w:rsidTr="00796D83">
        <w:trPr>
          <w:trHeight w:val="454"/>
          <w:tblCellSpacing w:w="0" w:type="dxa"/>
        </w:trPr>
        <w:tc>
          <w:tcPr>
            <w:tcW w:w="309"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TT</w:t>
            </w:r>
          </w:p>
        </w:tc>
        <w:tc>
          <w:tcPr>
            <w:tcW w:w="2371"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Nội dung chuyên môn, nghiệp vụ</w:t>
            </w:r>
          </w:p>
        </w:tc>
        <w:tc>
          <w:tcPr>
            <w:tcW w:w="113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Nhân viên y tế tại cơ sở giáo dục quy định tại điểm a khoản 3 Điều 2 Thông tư này</w:t>
            </w:r>
          </w:p>
        </w:tc>
        <w:tc>
          <w:tcPr>
            <w:tcW w:w="118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b/>
                <w:bCs/>
                <w:sz w:val="20"/>
                <w:szCs w:val="20"/>
                <w:lang w:eastAsia="en-SG"/>
              </w:rPr>
              <w:t>Nhân viên y tế tại cơ sở giáo dục quy định tại điểm b khoản 3 Điều 2 Thông tư này</w:t>
            </w:r>
          </w:p>
        </w:tc>
      </w:tr>
      <w:tr w:rsidR="00796D83" w:rsidRPr="00796D83" w:rsidTr="00796D83">
        <w:trPr>
          <w:trHeight w:val="454"/>
          <w:tblCellSpacing w:w="0" w:type="dxa"/>
        </w:trPr>
        <w:tc>
          <w:tcPr>
            <w:tcW w:w="309"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1</w:t>
            </w:r>
          </w:p>
        </w:tc>
        <w:tc>
          <w:tcPr>
            <w:tcW w:w="2371"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Tổng quan về công tác y tế trường học</w:t>
            </w:r>
          </w:p>
        </w:tc>
        <w:tc>
          <w:tcPr>
            <w:tcW w:w="113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118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rHeight w:val="454"/>
          <w:tblCellSpacing w:w="0" w:type="dxa"/>
        </w:trPr>
        <w:tc>
          <w:tcPr>
            <w:tcW w:w="309"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2</w:t>
            </w:r>
          </w:p>
        </w:tc>
        <w:tc>
          <w:tcPr>
            <w:tcW w:w="2371"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Đặc điểm phát triển thể chất và tâm sinh lý lứa tuổi học đường</w:t>
            </w:r>
          </w:p>
        </w:tc>
        <w:tc>
          <w:tcPr>
            <w:tcW w:w="113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118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rHeight w:val="454"/>
          <w:tblCellSpacing w:w="0" w:type="dxa"/>
        </w:trPr>
        <w:tc>
          <w:tcPr>
            <w:tcW w:w="309"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3</w:t>
            </w:r>
          </w:p>
        </w:tc>
        <w:tc>
          <w:tcPr>
            <w:tcW w:w="2371"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Phòng chống các yếu tố nguy cơ gây tai nạn thương tích và bệnh, tật học đường</w:t>
            </w:r>
          </w:p>
        </w:tc>
        <w:tc>
          <w:tcPr>
            <w:tcW w:w="113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118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rHeight w:val="454"/>
          <w:tblCellSpacing w:w="0" w:type="dxa"/>
        </w:trPr>
        <w:tc>
          <w:tcPr>
            <w:tcW w:w="309"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4</w:t>
            </w:r>
          </w:p>
        </w:tc>
        <w:tc>
          <w:tcPr>
            <w:tcW w:w="2371"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Thuốc thiết yếu và cách sử dụng</w:t>
            </w:r>
          </w:p>
        </w:tc>
        <w:tc>
          <w:tcPr>
            <w:tcW w:w="113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118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rHeight w:val="454"/>
          <w:tblCellSpacing w:w="0" w:type="dxa"/>
        </w:trPr>
        <w:tc>
          <w:tcPr>
            <w:tcW w:w="309"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5</w:t>
            </w:r>
          </w:p>
        </w:tc>
        <w:tc>
          <w:tcPr>
            <w:tcW w:w="2371"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Sơ cứu, cấp cứu ban đầu</w:t>
            </w:r>
          </w:p>
        </w:tc>
        <w:tc>
          <w:tcPr>
            <w:tcW w:w="113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118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rHeight w:val="454"/>
          <w:tblCellSpacing w:w="0" w:type="dxa"/>
        </w:trPr>
        <w:tc>
          <w:tcPr>
            <w:tcW w:w="309"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6</w:t>
            </w:r>
          </w:p>
        </w:tc>
        <w:tc>
          <w:tcPr>
            <w:tcW w:w="2371"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Xử trí ban đầu một số triệu chứng và bệnh, tật thường gặp trong cơ sở giáo dục, tư vấn để đến cơ sở khám bệnh, chữa bệnh trong trường hợp cấp cứu.</w:t>
            </w:r>
          </w:p>
        </w:tc>
        <w:tc>
          <w:tcPr>
            <w:tcW w:w="113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118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rHeight w:val="454"/>
          <w:tblCellSpacing w:w="0" w:type="dxa"/>
        </w:trPr>
        <w:tc>
          <w:tcPr>
            <w:tcW w:w="309"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7</w:t>
            </w:r>
          </w:p>
        </w:tc>
        <w:tc>
          <w:tcPr>
            <w:tcW w:w="2371"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Dinh dưỡng, an toàn thực phẩm trong trường học</w:t>
            </w:r>
          </w:p>
        </w:tc>
        <w:tc>
          <w:tcPr>
            <w:tcW w:w="113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118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r w:rsidR="00796D83" w:rsidRPr="00796D83" w:rsidTr="00796D83">
        <w:trPr>
          <w:trHeight w:val="454"/>
          <w:tblCellSpacing w:w="0" w:type="dxa"/>
        </w:trPr>
        <w:tc>
          <w:tcPr>
            <w:tcW w:w="309"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8</w:t>
            </w:r>
          </w:p>
        </w:tc>
        <w:tc>
          <w:tcPr>
            <w:tcW w:w="2371"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Sức khỏe tâm thần, sức khỏe sinh sản</w:t>
            </w:r>
          </w:p>
        </w:tc>
        <w:tc>
          <w:tcPr>
            <w:tcW w:w="113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118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p>
        </w:tc>
      </w:tr>
      <w:tr w:rsidR="00796D83" w:rsidRPr="00796D83" w:rsidTr="00796D83">
        <w:trPr>
          <w:trHeight w:val="454"/>
          <w:tblCellSpacing w:w="0" w:type="dxa"/>
        </w:trPr>
        <w:tc>
          <w:tcPr>
            <w:tcW w:w="309"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9</w:t>
            </w:r>
          </w:p>
        </w:tc>
        <w:tc>
          <w:tcPr>
            <w:tcW w:w="2371" w:type="pct"/>
            <w:shd w:val="clear" w:color="auto" w:fill="FFFFFF"/>
            <w:vAlign w:val="center"/>
            <w:hideMark/>
          </w:tcPr>
          <w:p w:rsidR="00796D83" w:rsidRPr="00796D83" w:rsidRDefault="00796D83" w:rsidP="00796D83">
            <w:pPr>
              <w:spacing w:after="0" w:line="240" w:lineRule="auto"/>
              <w:rPr>
                <w:rFonts w:ascii="Arial" w:eastAsia="Times New Roman" w:hAnsi="Arial" w:cs="Arial"/>
                <w:sz w:val="20"/>
                <w:szCs w:val="20"/>
                <w:lang w:eastAsia="en-SG"/>
              </w:rPr>
            </w:pPr>
            <w:r w:rsidRPr="00796D83">
              <w:rPr>
                <w:rFonts w:ascii="Arial" w:eastAsia="Times New Roman" w:hAnsi="Arial" w:cs="Arial"/>
                <w:sz w:val="20"/>
                <w:szCs w:val="20"/>
                <w:lang w:eastAsia="en-SG"/>
              </w:rPr>
              <w:t>Truyền thông, tư vấn, giáo dục sức khỏe</w:t>
            </w:r>
          </w:p>
        </w:tc>
        <w:tc>
          <w:tcPr>
            <w:tcW w:w="1134"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c>
          <w:tcPr>
            <w:tcW w:w="1186" w:type="pct"/>
            <w:shd w:val="clear" w:color="auto" w:fill="FFFFFF"/>
            <w:vAlign w:val="center"/>
            <w:hideMark/>
          </w:tcPr>
          <w:p w:rsidR="00796D83" w:rsidRPr="00796D83" w:rsidRDefault="00796D83" w:rsidP="00796D83">
            <w:pPr>
              <w:spacing w:after="0" w:line="240" w:lineRule="auto"/>
              <w:jc w:val="center"/>
              <w:rPr>
                <w:rFonts w:ascii="Arial" w:eastAsia="Times New Roman" w:hAnsi="Arial" w:cs="Arial"/>
                <w:sz w:val="20"/>
                <w:szCs w:val="20"/>
                <w:lang w:eastAsia="en-SG"/>
              </w:rPr>
            </w:pPr>
            <w:r w:rsidRPr="00796D83">
              <w:rPr>
                <w:rFonts w:ascii="Arial" w:eastAsia="Times New Roman" w:hAnsi="Arial" w:cs="Arial"/>
                <w:sz w:val="20"/>
                <w:szCs w:val="20"/>
                <w:lang w:eastAsia="en-SG"/>
              </w:rPr>
              <w:t>x</w:t>
            </w:r>
          </w:p>
        </w:tc>
      </w:tr>
    </w:tbl>
    <w:p w:rsidR="00796D83"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i/>
          <w:iCs/>
          <w:sz w:val="20"/>
          <w:szCs w:val="20"/>
          <w:lang w:eastAsia="en-SG"/>
        </w:rPr>
        <w:t>Ghi chú:</w:t>
      </w:r>
    </w:p>
    <w:p w:rsidR="00E51DA6" w:rsidRPr="00796D83" w:rsidRDefault="00796D83" w:rsidP="00796D83">
      <w:pPr>
        <w:shd w:val="clear" w:color="auto" w:fill="FFFFFF"/>
        <w:spacing w:after="120" w:line="240" w:lineRule="auto"/>
        <w:ind w:firstLine="720"/>
        <w:jc w:val="both"/>
        <w:rPr>
          <w:rFonts w:ascii="Arial" w:eastAsia="Times New Roman" w:hAnsi="Arial" w:cs="Arial"/>
          <w:sz w:val="20"/>
          <w:szCs w:val="20"/>
          <w:lang w:eastAsia="en-SG"/>
        </w:rPr>
      </w:pPr>
      <w:r w:rsidRPr="00796D83">
        <w:rPr>
          <w:rFonts w:ascii="Arial" w:eastAsia="Times New Roman" w:hAnsi="Arial" w:cs="Arial"/>
          <w:i/>
          <w:iCs/>
          <w:sz w:val="20"/>
          <w:szCs w:val="20"/>
          <w:lang w:eastAsia="en-SG"/>
        </w:rPr>
        <w:t>Dấu “x”: Nội dung chuyên môn, nghiệp vụ cần đào tạo</w:t>
      </w:r>
    </w:p>
    <w:sectPr w:rsidR="00E51DA6" w:rsidRPr="00796D83" w:rsidSect="00796D83">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83"/>
    <w:rsid w:val="00796D83"/>
    <w:rsid w:val="007D6EF2"/>
    <w:rsid w:val="00E51DA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83D82"/>
  <w15:chartTrackingRefBased/>
  <w15:docId w15:val="{29ED5ECA-26E1-40D6-A70B-99911815B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96D83"/>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styleId="Hyperlink">
    <w:name w:val="Hyperlink"/>
    <w:basedOn w:val="DefaultParagraphFont"/>
    <w:uiPriority w:val="99"/>
    <w:semiHidden/>
    <w:unhideWhenUsed/>
    <w:rsid w:val="00796D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970575">
      <w:bodyDiv w:val="1"/>
      <w:marLeft w:val="0"/>
      <w:marRight w:val="0"/>
      <w:marTop w:val="0"/>
      <w:marBottom w:val="0"/>
      <w:divBdr>
        <w:top w:val="none" w:sz="0" w:space="0" w:color="auto"/>
        <w:left w:val="none" w:sz="0" w:space="0" w:color="auto"/>
        <w:bottom w:val="none" w:sz="0" w:space="0" w:color="auto"/>
        <w:right w:val="none" w:sz="0" w:space="0" w:color="auto"/>
      </w:divBdr>
    </w:div>
    <w:div w:id="140418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2318</Words>
  <Characters>13215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2024-01-02T03:13:00Z</dcterms:created>
  <dcterms:modified xsi:type="dcterms:W3CDTF">2024-01-02T03:24:00Z</dcterms:modified>
</cp:coreProperties>
</file>